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2937"/>
      <w:bookmarkStart w:id="1" w:name="_Toc56443217"/>
      <w:bookmarkStart w:id="2" w:name="_Toc24862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项目名称：提前下达2023年中央财政医疗服务与保障能力提升(公立医院综合改革)</w:t>
      </w: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项目单位：开封市医学科学研究所</w:t>
      </w: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2024年05月</w:t>
      </w:r>
    </w:p>
    <w:p>
      <w:pPr>
        <w:pStyle w:val="24"/>
        <w:jc w:val="both"/>
      </w:pPr>
    </w:p>
    <w:p>
      <w:pPr>
        <w:ind w:firstLine="0" w:firstLineChars="0"/>
        <w:rPr>
          <w:szCs w:val="4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18"/>
      </w:pPr>
      <w:bookmarkStart w:id="3" w:name="_Toc56442938"/>
      <w:bookmarkStart w:id="4" w:name="_Toc56442880"/>
      <w:bookmarkStart w:id="5" w:name="_Toc20727"/>
      <w:r>
        <w:rPr>
          <w:rFonts w:hint="eastAsia"/>
        </w:rPr>
        <w:t>一、项目基本情况</w:t>
      </w:r>
      <w:bookmarkEnd w:id="3"/>
      <w:bookmarkEnd w:id="4"/>
      <w:bookmarkEnd w:id="5"/>
    </w:p>
    <w:p>
      <w:pPr>
        <w:pStyle w:val="22"/>
        <w:ind w:left="199" w:leftChars="71"/>
      </w:pPr>
      <w:bookmarkStart w:id="6" w:name="_Toc56442939"/>
      <w:bookmarkStart w:id="7" w:name="_Toc11153"/>
      <w:bookmarkStart w:id="8" w:name="_Toc56442881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>
      <w:pPr>
        <w:pStyle w:val="13"/>
        <w:ind w:firstLine="560"/>
      </w:pPr>
      <w:bookmarkStart w:id="9" w:name="_Toc5633"/>
      <w:bookmarkStart w:id="10" w:name="_Toc56442882"/>
      <w:bookmarkStart w:id="11" w:name="_Toc56442940"/>
      <w:r>
        <w:rPr>
          <w:rFonts w:ascii="宋体" w:hAnsi="宋体" w:eastAsia="宋体" w:cs="宋体"/>
          <w:sz w:val="20"/>
          <w:u w:val="none"/>
        </w:rPr>
        <w:t>提前下达2023年中央财政医疗服务与保障能力提升(公立医院综合改革)</w:t>
      </w:r>
    </w:p>
    <w:p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11.20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2.11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18.84%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11.20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2.11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18.84%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>
      <w:pPr>
        <w:pStyle w:val="22"/>
        <w:ind w:left="199" w:leftChars="71"/>
      </w:pPr>
      <w:bookmarkStart w:id="12" w:name="_Toc15851"/>
      <w:bookmarkStart w:id="13" w:name="_Toc56442941"/>
      <w:bookmarkStart w:id="14" w:name="_Toc56442883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按照医疗服务能力支付进度，好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按照医疗服务能力支付进度，好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按照医疗服务能力支付进度，好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按照医疗服务能力支付进度，好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  <w:bookmarkStart w:id="31" w:name="_GoBack"/>
            <w:bookmarkEnd w:id="31"/>
          </w:p>
        </w:tc>
      </w:tr>
    </w:tbl>
    <w:p>
      <w:pPr>
        <w:pStyle w:val="22"/>
        <w:ind w:left="199" w:leftChars="71"/>
      </w:pPr>
      <w:r>
        <w:rPr>
          <w:rFonts w:hint="eastAsia"/>
        </w:rPr>
        <w:t>（四）项目绩效目标</w:t>
      </w:r>
    </w:p>
    <w:p>
      <w:pPr>
        <w:pStyle w:val="15"/>
        <w:ind w:leftChars="0"/>
      </w:pPr>
      <w:r>
        <w:rPr>
          <w:rFonts w:hint="eastAsia"/>
        </w:rPr>
        <w:t>1. 项目年度绩效目标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>根据国家相关法律法规以及上级部门相关规定，提高使用医疗服务业与保障能力提升（公立医院综合改革）补助资金，达到提高医院的治疗、诊断、科研水平，实现医疗服务与保障能力的提升。</w:t>
      </w:r>
    </w:p>
    <w:p>
      <w:pPr>
        <w:pStyle w:val="15"/>
        <w:ind w:left="199" w:leftChars="71"/>
      </w:pPr>
      <w:bookmarkStart w:id="15" w:name="_Toc56442884"/>
      <w:bookmarkStart w:id="16" w:name="_Toc56442942"/>
      <w:r>
        <w:rPr>
          <w:rFonts w:hint="eastAsia"/>
        </w:rPr>
        <w:t>2.项目年度绩效目标完成情况</w:t>
      </w:r>
      <w:bookmarkEnd w:id="15"/>
      <w:bookmarkEnd w:id="16"/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>根据国家相关法律法规以及上级部门相关规定，提高使用医疗服务业与保障能力提升（公立医院综合改革）补助资金，达到提高医院的治疗、诊断、科研水平，实现医疗服务与保障能力的提升。</w:t>
      </w:r>
    </w:p>
    <w:p>
      <w:pPr>
        <w:pStyle w:val="18"/>
      </w:pPr>
      <w:bookmarkStart w:id="17" w:name="_Toc56442885"/>
      <w:bookmarkStart w:id="18" w:name="_Toc56442943"/>
      <w:bookmarkStart w:id="19" w:name="_Toc20144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>
      <w:pPr>
        <w:pStyle w:val="22"/>
        <w:ind w:left="560"/>
      </w:pPr>
      <w:r>
        <w:rPr>
          <w:rFonts w:hint="eastAsia"/>
        </w:rPr>
        <w:t>（一）总体评价结论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综合考虑资金管理、产出、效果、满意度等各方面因素，通过数据采集及分析，最终评分结果：提前下达2023年中央财政医疗服务与保障能力提升(公立医院综合改革)绩效自评价结果为:总得分91.88分，属于"优"。</w:t>
      </w:r>
    </w:p>
    <w:p>
      <w:pPr>
        <w:ind w:firstLine="560"/>
      </w:pPr>
    </w:p>
    <w:p>
      <w:pPr>
        <w:pStyle w:val="22"/>
        <w:ind w:left="560"/>
      </w:pPr>
      <w:bookmarkStart w:id="20" w:name="_Toc56442886"/>
      <w:bookmarkStart w:id="21" w:name="_Toc2119"/>
      <w:bookmarkStart w:id="22" w:name="_Toc56442944"/>
      <w:r>
        <w:rPr>
          <w:rFonts w:hint="eastAsia"/>
        </w:rPr>
        <w:t>（二）指标分析</w:t>
      </w:r>
    </w:p>
    <w:bookmarkEnd w:id="20"/>
    <w:bookmarkEnd w:id="21"/>
    <w:bookmarkEnd w:id="22"/>
    <w:p>
      <w:pPr>
        <w:pStyle w:val="13"/>
        <w:ind w:firstLine="560"/>
      </w:pPr>
      <w:r>
        <w:rPr>
          <w:rFonts w:hint="eastAsia"/>
        </w:rPr>
        <w:t>1.绩效目标完成的指标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运转成本; 办公费; 材料; 办公设备购置维修; 保基本运转; 医院治疗、诊断水平提高; 群众满意度调查;</w:t>
      </w:r>
    </w:p>
    <w:p>
      <w:pPr>
        <w:pStyle w:val="13"/>
        <w:ind w:firstLine="560"/>
      </w:pPr>
      <w:r>
        <w:rPr>
          <w:rFonts w:hint="eastAsia"/>
        </w:rPr>
        <w:t>2.没有完成绩效目标的指标</w:t>
      </w:r>
    </w:p>
    <w:p>
      <w:pPr>
        <w:pStyle w:val="13"/>
        <w:ind w:firstLine="560"/>
      </w:pPr>
    </w:p>
    <w:p>
      <w:pPr>
        <w:ind w:firstLine="560"/>
      </w:pPr>
    </w:p>
    <w:p>
      <w:pPr>
        <w:pStyle w:val="18"/>
      </w:pPr>
      <w:bookmarkStart w:id="23" w:name="_Toc56442890"/>
      <w:bookmarkStart w:id="24" w:name="_Toc20132"/>
      <w:bookmarkStart w:id="25" w:name="_Toc56442948"/>
      <w:r>
        <w:rPr>
          <w:rFonts w:hint="eastAsia"/>
        </w:rPr>
        <w:t>三、存在的问题和建议</w:t>
      </w:r>
      <w:bookmarkEnd w:id="23"/>
      <w:bookmarkEnd w:id="24"/>
      <w:bookmarkEnd w:id="25"/>
    </w:p>
    <w:p>
      <w:pPr>
        <w:pStyle w:val="22"/>
        <w:ind w:left="560"/>
      </w:pPr>
      <w:bookmarkStart w:id="26" w:name="_Toc56442889"/>
      <w:bookmarkStart w:id="27" w:name="_Toc56442947"/>
      <w:bookmarkStart w:id="28" w:name="_Toc19895"/>
      <w:r>
        <w:rPr>
          <w:rFonts w:hint="eastAsia"/>
        </w:rPr>
        <w:t>（一）存在的问题</w:t>
      </w:r>
      <w:bookmarkEnd w:id="26"/>
      <w:bookmarkEnd w:id="27"/>
      <w:bookmarkEnd w:id="28"/>
    </w:p>
    <w:p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15"/>
        <w:ind w:left="560"/>
      </w:pPr>
      <w:r>
        <w:rPr>
          <w:rFonts w:hint="eastAsia"/>
        </w:rPr>
        <w:t>2.对预算安排及执行情况的建议</w:t>
      </w:r>
    </w:p>
    <w:p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无</w:t>
      </w:r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无</w:t>
      </w:r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>
      <w:pPr>
        <w:ind w:firstLine="1161" w:firstLineChars="413"/>
        <w:rPr>
          <w:rFonts w:ascii="宋体" w:hAnsi="宋体" w:eastAsia="宋体"/>
          <w:b/>
          <w:bCs/>
        </w:rPr>
      </w:pPr>
    </w:p>
    <w:p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成本指标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经济成本指标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运转成本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112000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办公费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5000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材料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102000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办公设备购置维修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5000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保基本运转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正常运转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社会效益指标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医院治疗、诊断水平提高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完成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满意度指标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服务对象满意度指标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群众满意度调查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>
      <w:pPr>
        <w:ind w:firstLine="0" w:firstLineChars="0"/>
      </w:pPr>
    </w:p>
    <w:p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>
      <w:pPr>
        <w:pStyle w:val="7"/>
        <w:ind w:firstLine="0" w:firstLineChars="0"/>
        <w:jc w:val="both"/>
      </w:pPr>
    </w:p>
    <w:p>
      <w:pPr>
        <w:ind w:firstLine="560"/>
      </w:pPr>
    </w:p>
    <w:sectPr>
      <w:headerReference r:id="rId11" w:type="first"/>
      <w:footerReference r:id="rId14" w:type="first"/>
      <w:headerReference r:id="rId9" w:type="default"/>
      <w:footerReference r:id="rId12" w:type="default"/>
      <w:headerReference r:id="rId10" w:type="even"/>
      <w:footerReference r:id="rId13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  <w:rsid w:val="2E363FFD"/>
    <w:rsid w:val="50E0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qFormat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Administrator</cp:lastModifiedBy>
  <dcterms:modified xsi:type="dcterms:W3CDTF">2024-06-05T01:39:27Z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