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3217"/>
      <w:bookmarkStart w:id="1" w:name="_Toc56442937"/>
      <w:bookmarkStart w:id="2" w:name="_Toc24862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项目名称：2022年城市公立医院改革取消药品加成市级补助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项目单位：开封市医学科学研究所</w:t>
      </w:r>
    </w:p>
    <w:p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2024年05月</w:t>
      </w:r>
    </w:p>
    <w:p>
      <w:pPr>
        <w:pStyle w:val="24"/>
        <w:jc w:val="both"/>
      </w:pPr>
    </w:p>
    <w:p>
      <w:pPr>
        <w:ind w:firstLine="0" w:firstLineChars="0"/>
        <w:rPr>
          <w:szCs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18"/>
      </w:pPr>
      <w:bookmarkStart w:id="3" w:name="_Toc56442938"/>
      <w:bookmarkStart w:id="4" w:name="_Toc20727"/>
      <w:bookmarkStart w:id="5" w:name="_Toc56442880"/>
      <w:r>
        <w:rPr>
          <w:rFonts w:hint="eastAsia"/>
        </w:rPr>
        <w:t>一、项目基本情况</w:t>
      </w:r>
      <w:bookmarkEnd w:id="3"/>
      <w:bookmarkEnd w:id="4"/>
      <w:bookmarkEnd w:id="5"/>
    </w:p>
    <w:p>
      <w:pPr>
        <w:pStyle w:val="22"/>
        <w:ind w:left="199" w:leftChars="71"/>
      </w:pPr>
      <w:bookmarkStart w:id="6" w:name="_Toc56442939"/>
      <w:bookmarkStart w:id="7" w:name="_Toc56442881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>
      <w:pPr>
        <w:pStyle w:val="13"/>
        <w:ind w:firstLine="560"/>
      </w:pPr>
      <w:bookmarkStart w:id="9" w:name="_Toc56442882"/>
      <w:bookmarkStart w:id="10" w:name="_Toc56442940"/>
      <w:bookmarkStart w:id="11" w:name="_Toc5633"/>
      <w:r>
        <w:rPr>
          <w:rFonts w:ascii="宋体" w:hAnsi="宋体" w:eastAsia="宋体" w:cs="宋体"/>
          <w:sz w:val="20"/>
          <w:u w:val="none"/>
        </w:rPr>
        <w:t>"1、长期目标   2021-2023年推动落实公立医院综合改革任务，弥补城市公立医院因取消药品加成减少的10%收入。2、年度目标    2021年推动落实公立医院综合改革任务，弥补城市公立医院因取消药品加成减少的10%收入。"</w:t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ab/>
      </w:r>
    </w:p>
    <w:p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1.00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1.00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>
      <w:pPr>
        <w:pStyle w:val="22"/>
        <w:ind w:left="199" w:leftChars="71"/>
      </w:pPr>
      <w:bookmarkStart w:id="12" w:name="_Toc15851"/>
      <w:bookmarkStart w:id="13" w:name="_Toc56442941"/>
      <w:bookmarkStart w:id="14" w:name="_Toc56442883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按照药品加成结算进度，好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按照药品加成结算进度，好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按照药品加成结算进度，好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按照药品加成结算进度，好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  <w:bookmarkStart w:id="31" w:name="_GoBack"/>
            <w:bookmarkEnd w:id="31"/>
          </w:p>
        </w:tc>
      </w:tr>
    </w:tbl>
    <w:p>
      <w:pPr>
        <w:pStyle w:val="22"/>
        <w:ind w:left="199" w:leftChars="71"/>
      </w:pPr>
      <w:r>
        <w:rPr>
          <w:rFonts w:hint="eastAsia"/>
        </w:rPr>
        <w:t>（四）项目绩效目标</w:t>
      </w:r>
    </w:p>
    <w:p>
      <w:pPr>
        <w:pStyle w:val="15"/>
        <w:ind w:leftChars="0"/>
      </w:pPr>
      <w:r>
        <w:rPr>
          <w:rFonts w:hint="eastAsia"/>
        </w:rPr>
        <w:t>1. 项目年度绩效目标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根据国家相关法律法规以及上级部门相关规定，通过使用城市公立医院改革取消药品加成市级补助资金，达到提高医院的治疗服务水平。</w:t>
      </w:r>
    </w:p>
    <w:p>
      <w:pPr>
        <w:pStyle w:val="15"/>
        <w:ind w:left="199" w:leftChars="71"/>
      </w:pPr>
      <w:bookmarkStart w:id="15" w:name="_Toc56442884"/>
      <w:bookmarkStart w:id="16" w:name="_Toc56442942"/>
      <w:r>
        <w:rPr>
          <w:rFonts w:hint="eastAsia"/>
        </w:rPr>
        <w:t>2.项目年度绩效目标完成情况</w:t>
      </w:r>
      <w:bookmarkEnd w:id="15"/>
      <w:bookmarkEnd w:id="16"/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根据国家相关法律法规以及上级部门相关规定，通过使用城市公立医院改革取消药品加成市级补助资金，达到提高医院的治疗服务水平。</w:t>
      </w:r>
    </w:p>
    <w:p>
      <w:pPr>
        <w:pStyle w:val="18"/>
      </w:pPr>
      <w:bookmarkStart w:id="17" w:name="_Toc56442885"/>
      <w:bookmarkStart w:id="18" w:name="_Toc56442943"/>
      <w:bookmarkStart w:id="19" w:name="_Toc20144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>
      <w:pPr>
        <w:pStyle w:val="22"/>
        <w:ind w:left="560"/>
      </w:pPr>
      <w:r>
        <w:rPr>
          <w:rFonts w:hint="eastAsia"/>
        </w:rPr>
        <w:t>（一）总体评价结论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综合考虑资金管理、产出、效果、满意度等各方面因素，通过数据采集及分析，最终评分结果：2022年城市公立医院改革取消药品加成市级补助绩效自评价结果为:总得分100分，属于"优"。</w:t>
      </w:r>
    </w:p>
    <w:p>
      <w:pPr>
        <w:ind w:firstLine="560"/>
      </w:pPr>
    </w:p>
    <w:p>
      <w:pPr>
        <w:pStyle w:val="22"/>
        <w:ind w:left="560"/>
      </w:pPr>
      <w:bookmarkStart w:id="20" w:name="_Toc56442886"/>
      <w:bookmarkStart w:id="21" w:name="_Toc56442944"/>
      <w:bookmarkStart w:id="22" w:name="_Toc2119"/>
      <w:r>
        <w:rPr>
          <w:rFonts w:hint="eastAsia"/>
        </w:rPr>
        <w:t>（二）指标分析</w:t>
      </w:r>
    </w:p>
    <w:bookmarkEnd w:id="20"/>
    <w:bookmarkEnd w:id="21"/>
    <w:bookmarkEnd w:id="22"/>
    <w:p>
      <w:pPr>
        <w:pStyle w:val="13"/>
        <w:ind w:firstLine="560"/>
      </w:pPr>
      <w:r>
        <w:rPr>
          <w:rFonts w:hint="eastAsia"/>
        </w:rPr>
        <w:t>1.绩效目标完成的指标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运转成本; 药品费; 保基本运营; 2023年完成任务; 提高医院治疗服务; 群众满意度调查;</w:t>
      </w:r>
    </w:p>
    <w:p>
      <w:pPr>
        <w:pStyle w:val="13"/>
        <w:ind w:firstLine="560"/>
      </w:pPr>
      <w:r>
        <w:rPr>
          <w:rFonts w:hint="eastAsia"/>
        </w:rPr>
        <w:t>2.没有完成绩效目标的指标</w:t>
      </w:r>
    </w:p>
    <w:p>
      <w:pPr>
        <w:pStyle w:val="13"/>
        <w:ind w:firstLine="560"/>
      </w:pPr>
    </w:p>
    <w:p>
      <w:pPr>
        <w:ind w:firstLine="560"/>
      </w:pPr>
    </w:p>
    <w:p>
      <w:pPr>
        <w:pStyle w:val="18"/>
      </w:pPr>
      <w:bookmarkStart w:id="23" w:name="_Toc56442890"/>
      <w:bookmarkStart w:id="24" w:name="_Toc56442948"/>
      <w:bookmarkStart w:id="25" w:name="_Toc20132"/>
      <w:r>
        <w:rPr>
          <w:rFonts w:hint="eastAsia"/>
        </w:rPr>
        <w:t>三、存在的问题和建议</w:t>
      </w:r>
      <w:bookmarkEnd w:id="23"/>
      <w:bookmarkEnd w:id="24"/>
      <w:bookmarkEnd w:id="25"/>
    </w:p>
    <w:p>
      <w:pPr>
        <w:pStyle w:val="22"/>
        <w:ind w:left="560"/>
      </w:pPr>
      <w:bookmarkStart w:id="26" w:name="_Toc56442889"/>
      <w:bookmarkStart w:id="27" w:name="_Toc19895"/>
      <w:bookmarkStart w:id="28" w:name="_Toc56442947"/>
      <w:r>
        <w:rPr>
          <w:rFonts w:hint="eastAsia"/>
        </w:rPr>
        <w:t>（一）存在的问题</w:t>
      </w:r>
      <w:bookmarkEnd w:id="26"/>
      <w:bookmarkEnd w:id="27"/>
      <w:bookmarkEnd w:id="28"/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5"/>
        <w:ind w:left="560"/>
      </w:pPr>
      <w:r>
        <w:rPr>
          <w:rFonts w:hint="eastAsia"/>
        </w:rPr>
        <w:t>2.对预算安排及执行情况的建议</w:t>
      </w:r>
    </w:p>
    <w:p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无</w:t>
      </w:r>
    </w:p>
    <w:p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无</w:t>
      </w:r>
    </w:p>
    <w:p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>
      <w:pPr>
        <w:ind w:firstLine="1161" w:firstLineChars="413"/>
        <w:rPr>
          <w:rFonts w:ascii="宋体" w:hAnsi="宋体" w:eastAsia="宋体"/>
          <w:b/>
          <w:bCs/>
        </w:rPr>
      </w:pPr>
    </w:p>
    <w:p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成本指标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经济成本指标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运转成本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药品费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10000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保基本运营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正常运转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continue"/>
          </w:tcPr>
          <w:p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时效指标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2023年完成任务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完成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  <w:vMerge w:val="restart"/>
          </w:tcPr>
          <w:p>
            <w:pPr>
              <w:ind w:firstLine="0"/>
            </w:pPr>
            <w:r>
              <w:rPr>
                <w:sz w:val="20"/>
              </w:rPr>
              <w:t>社会效益指标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提高医院治疗服务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完成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  <w:r>
              <w:rPr>
                <w:sz w:val="20"/>
              </w:rPr>
              <w:t>25</w:t>
            </w:r>
          </w:p>
        </w:tc>
        <w:tc>
          <w:tcPr>
            <w:tcW w:w="5000" w:type="dxa"/>
          </w:tcPr>
          <w:p>
            <w:pPr>
              <w:ind w:firstLine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服务对象满意度指标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群众满意度调查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0" w:firstLineChars="0"/>
      </w:pPr>
    </w:p>
    <w:p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>
      <w:pPr>
        <w:pStyle w:val="7"/>
        <w:ind w:firstLine="0" w:firstLineChars="0"/>
        <w:jc w:val="both"/>
      </w:pPr>
    </w:p>
    <w:p>
      <w:pPr>
        <w:ind w:firstLine="56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02A553EC"/>
    <w:rsid w:val="2671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Administrator</cp:lastModifiedBy>
  <dcterms:modified xsi:type="dcterms:W3CDTF">2024-06-05T01:37:48Z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