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B9C4E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30684AA2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C03EAB7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D503B5C"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bookmarkStart w:id="0" w:name="_Toc56443217"/>
      <w:bookmarkStart w:id="1" w:name="_Toc56442937"/>
      <w:bookmarkStart w:id="2" w:name="_Toc24862"/>
      <w:r>
        <w:rPr>
          <w:rFonts w:hint="eastAsia" w:ascii="仿宋_GB2312" w:hAnsi="Arial"/>
          <w:b/>
          <w:sz w:val="44"/>
          <w:szCs w:val="44"/>
        </w:rPr>
        <w:t>财政项目支出绩效自评报告</w:t>
      </w:r>
      <w:bookmarkEnd w:id="0"/>
      <w:bookmarkEnd w:id="1"/>
      <w:bookmarkEnd w:id="2"/>
    </w:p>
    <w:p w14:paraId="7A01F9D5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38DA502C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2A428220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5486CCCE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526BEA1B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1100DD89"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  <w:lang w:bidi="en-US"/>
        </w:rPr>
      </w:pPr>
    </w:p>
    <w:p w14:paraId="693F8E6F"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 w14:paraId="464824F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项目名称：提前下达2023年重大传染病防控经费</w:t>
      </w:r>
    </w:p>
    <w:p w14:paraId="58BF267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项目单位：开封市第五人民医院</w:t>
      </w:r>
    </w:p>
    <w:p w14:paraId="3833A468">
      <w:pPr>
        <w:spacing w:line="480" w:lineRule="auto"/>
        <w:ind w:firstLine="882" w:firstLineChars="441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主管部门：卫健委</w:t>
      </w:r>
    </w:p>
    <w:p w14:paraId="30370951"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 w14:paraId="4A6D329B"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  <w:lang w:bidi="en-US"/>
        </w:rPr>
      </w:pPr>
    </w:p>
    <w:p w14:paraId="5A3B3767"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hAnsi="宋体" w:eastAsia="宋体" w:cs="宋体"/>
          <w:sz w:val="20"/>
          <w:u w:val="none"/>
        </w:rPr>
        <w:t>2024年06月</w:t>
      </w:r>
    </w:p>
    <w:p w14:paraId="2CC9551E">
      <w:pPr>
        <w:pStyle w:val="24"/>
        <w:jc w:val="both"/>
      </w:pPr>
    </w:p>
    <w:p w14:paraId="05F75B1A">
      <w:pPr>
        <w:ind w:firstLine="0" w:firstLineChars="0"/>
        <w:rPr>
          <w:szCs w:val="4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A60F018">
      <w:pPr>
        <w:pStyle w:val="18"/>
      </w:pPr>
      <w:bookmarkStart w:id="3" w:name="_Toc56442938"/>
      <w:bookmarkStart w:id="4" w:name="_Toc56442880"/>
      <w:bookmarkStart w:id="5" w:name="_Toc20727"/>
      <w:r>
        <w:rPr>
          <w:rFonts w:hint="eastAsia"/>
        </w:rPr>
        <w:t>一、项目基本情况</w:t>
      </w:r>
      <w:bookmarkEnd w:id="3"/>
      <w:bookmarkEnd w:id="4"/>
      <w:bookmarkEnd w:id="5"/>
    </w:p>
    <w:p w14:paraId="33E79E83">
      <w:pPr>
        <w:pStyle w:val="22"/>
        <w:ind w:left="199" w:leftChars="71"/>
      </w:pPr>
      <w:bookmarkStart w:id="6" w:name="_Toc56442939"/>
      <w:bookmarkStart w:id="7" w:name="_Toc56442881"/>
      <w:bookmarkStart w:id="8" w:name="_Toc11153"/>
      <w:r>
        <w:rPr>
          <w:rFonts w:hint="eastAsia"/>
        </w:rPr>
        <w:t>（一）项目</w:t>
      </w:r>
      <w:bookmarkEnd w:id="6"/>
      <w:bookmarkEnd w:id="7"/>
      <w:bookmarkEnd w:id="8"/>
      <w:r>
        <w:rPr>
          <w:rFonts w:hint="eastAsia"/>
        </w:rPr>
        <w:t>概况</w:t>
      </w:r>
    </w:p>
    <w:p w14:paraId="57B8E09B">
      <w:pPr>
        <w:pStyle w:val="13"/>
        <w:ind w:firstLine="560"/>
      </w:pPr>
      <w:bookmarkStart w:id="9" w:name="_Toc56442940"/>
      <w:bookmarkStart w:id="10" w:name="_Toc5633"/>
      <w:bookmarkStart w:id="11" w:name="_Toc56442882"/>
      <w:r>
        <w:rPr>
          <w:rFonts w:ascii="宋体" w:hAnsi="宋体" w:eastAsia="宋体" w:cs="宋体"/>
          <w:sz w:val="20"/>
          <w:u w:val="none"/>
        </w:rPr>
        <w:t>提前下达2023年重大传染病防控经费</w:t>
      </w:r>
    </w:p>
    <w:p w14:paraId="6A8D6C0E">
      <w:pPr>
        <w:pStyle w:val="22"/>
        <w:ind w:left="199" w:leftChars="71"/>
      </w:pPr>
      <w:r>
        <w:rPr>
          <w:rFonts w:hint="eastAsia"/>
        </w:rPr>
        <w:t>（二）项目预算安排及使用情况</w:t>
      </w:r>
      <w:bookmarkEnd w:id="9"/>
      <w:bookmarkEnd w:id="10"/>
      <w:bookmarkEnd w:id="11"/>
      <w:r>
        <w:rPr>
          <w:rFonts w:hint="eastAsia"/>
        </w:rPr>
        <w:t xml:space="preserve"> </w:t>
      </w:r>
    </w:p>
    <w:p w14:paraId="4E773571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表1-2-1 年度预算安排及使用情况统计表</w:t>
      </w:r>
    </w:p>
    <w:p w14:paraId="496527C8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ascii="宋体" w:hAnsi="宋体" w:eastAsia="宋体" w:cs="宋体"/>
          <w:sz w:val="20"/>
          <w:u w:val="none"/>
        </w:rPr>
        <w:t xml:space="preserve">                                           单位：万元 </w:t>
      </w:r>
    </w:p>
    <w:tbl>
      <w:tblPr>
        <w:tblStyle w:val="8"/>
        <w:tblW w:w="469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640"/>
        <w:gridCol w:w="1639"/>
        <w:gridCol w:w="1821"/>
        <w:gridCol w:w="1602"/>
      </w:tblGrid>
      <w:tr w14:paraId="3CC57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A208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E5A7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8FD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C2A4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F2F4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执行率</w:t>
            </w:r>
          </w:p>
        </w:tc>
      </w:tr>
      <w:tr w14:paraId="729C2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8CE06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4C1C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AC40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47.39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F77D1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47.39　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4722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100.0%</w:t>
            </w:r>
          </w:p>
        </w:tc>
      </w:tr>
      <w:tr w14:paraId="6A855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2D025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政府预算资金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7FC5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7D0B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47.39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00C12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47.39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C02D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100.0%</w:t>
            </w:r>
          </w:p>
        </w:tc>
      </w:tr>
      <w:tr w14:paraId="77D5A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4A171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23C13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77E70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A9136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　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1AEA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  <w:tr w14:paraId="67EDA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CB715">
            <w:pPr>
              <w:widowControl/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8534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FC2E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1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4F846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585E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0.00%</w:t>
            </w:r>
          </w:p>
        </w:tc>
      </w:tr>
    </w:tbl>
    <w:p w14:paraId="5A0AB01E">
      <w:pPr>
        <w:pStyle w:val="22"/>
        <w:ind w:left="199" w:leftChars="71"/>
      </w:pPr>
      <w:bookmarkStart w:id="12" w:name="_Toc56442883"/>
      <w:bookmarkStart w:id="13" w:name="_Toc56442941"/>
      <w:bookmarkStart w:id="14" w:name="_Toc15851"/>
      <w:r>
        <w:rPr>
          <w:rFonts w:hint="eastAsia"/>
        </w:rPr>
        <w:t>（三）</w:t>
      </w:r>
      <w:bookmarkEnd w:id="12"/>
      <w:bookmarkEnd w:id="13"/>
      <w:bookmarkEnd w:id="14"/>
      <w:r>
        <w:rPr>
          <w:rFonts w:hint="eastAsia"/>
        </w:rPr>
        <w:t>资金管理情况表</w:t>
      </w:r>
    </w:p>
    <w:p w14:paraId="065F0249">
      <w:pPr>
        <w:pStyle w:val="13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表1-2-2 资金管理情况表</w:t>
      </w:r>
    </w:p>
    <w:tbl>
      <w:tblPr>
        <w:tblStyle w:val="8"/>
        <w:tblW w:w="8166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3862"/>
        <w:gridCol w:w="3106"/>
      </w:tblGrid>
      <w:tr w14:paraId="44AA9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B35BC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96435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62948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存在问题和改进措施</w:t>
            </w:r>
          </w:p>
        </w:tc>
      </w:tr>
      <w:tr w14:paraId="53BFE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7EFD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安排科学性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932A4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资金安排符合我院严重精神障碍管理治疗项目工作的要求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8C37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无</w:t>
            </w:r>
          </w:p>
        </w:tc>
      </w:tr>
      <w:tr w14:paraId="2AB03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08679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拨付合规性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80C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专项资金拨付指标文及时收到，资金按时到位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16F87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无</w:t>
            </w:r>
          </w:p>
        </w:tc>
      </w:tr>
      <w:tr w14:paraId="7F4AA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6D8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使用规范性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D3D4B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按专项资金管理办法合理使用，未有改变项目资金用途的情况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5513E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无</w:t>
            </w:r>
          </w:p>
        </w:tc>
      </w:tr>
      <w:tr w14:paraId="238BE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D52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预算绩效管理情况</w:t>
            </w:r>
          </w:p>
        </w:tc>
        <w:tc>
          <w:tcPr>
            <w:tcW w:w="3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14A6A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预算编制规范，项目执行进度良好</w:t>
            </w:r>
          </w:p>
        </w:tc>
        <w:tc>
          <w:tcPr>
            <w:tcW w:w="3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06BFF"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0"/>
                <w:u w:val="none"/>
              </w:rPr>
              <w:t>无</w:t>
            </w:r>
          </w:p>
        </w:tc>
      </w:tr>
    </w:tbl>
    <w:p w14:paraId="2EAC38E8">
      <w:pPr>
        <w:pStyle w:val="22"/>
        <w:ind w:left="199" w:leftChars="71"/>
      </w:pPr>
      <w:r>
        <w:rPr>
          <w:rFonts w:hint="eastAsia"/>
        </w:rPr>
        <w:t>（四）项目绩效目标</w:t>
      </w:r>
    </w:p>
    <w:p w14:paraId="671367C1">
      <w:pPr>
        <w:pStyle w:val="15"/>
        <w:ind w:leftChars="0"/>
      </w:pPr>
      <w:r>
        <w:rPr>
          <w:rFonts w:hint="eastAsia"/>
        </w:rPr>
        <w:t>1. 项目年度绩效目标</w:t>
      </w:r>
    </w:p>
    <w:p w14:paraId="6E8056CA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  <w:t>将2023年重大传染病防控做到实处</w:t>
      </w:r>
    </w:p>
    <w:p w14:paraId="4C8E7101">
      <w:pPr>
        <w:pStyle w:val="15"/>
        <w:ind w:left="199" w:leftChars="71"/>
      </w:pPr>
      <w:bookmarkStart w:id="15" w:name="_Toc56442884"/>
      <w:bookmarkStart w:id="16" w:name="_Toc56442942"/>
      <w:r>
        <w:rPr>
          <w:rFonts w:hint="eastAsia"/>
        </w:rPr>
        <w:t>2.项目年度绩效目标完成情况</w:t>
      </w:r>
      <w:bookmarkEnd w:id="15"/>
      <w:bookmarkEnd w:id="16"/>
    </w:p>
    <w:p w14:paraId="0F920351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ab/>
        <w:t>2023年重大传染病防控做到实处</w:t>
      </w:r>
    </w:p>
    <w:p w14:paraId="6F95E6A2">
      <w:pPr>
        <w:pStyle w:val="18"/>
      </w:pPr>
      <w:bookmarkStart w:id="17" w:name="_Toc56442943"/>
      <w:bookmarkStart w:id="18" w:name="_Toc20144"/>
      <w:bookmarkStart w:id="19" w:name="_Toc56442885"/>
      <w:r>
        <w:rPr>
          <w:rFonts w:hint="eastAsia"/>
        </w:rPr>
        <w:t>二、</w:t>
      </w:r>
      <w:bookmarkEnd w:id="17"/>
      <w:bookmarkEnd w:id="18"/>
      <w:bookmarkEnd w:id="19"/>
      <w:r>
        <w:rPr>
          <w:rFonts w:hint="eastAsia"/>
        </w:rPr>
        <w:t>总体评价结论和指标分析</w:t>
      </w:r>
    </w:p>
    <w:p w14:paraId="64BDB522">
      <w:pPr>
        <w:pStyle w:val="22"/>
        <w:ind w:left="560"/>
      </w:pPr>
      <w:r>
        <w:rPr>
          <w:rFonts w:hint="eastAsia"/>
        </w:rPr>
        <w:t>（一）总体评价结论</w:t>
      </w:r>
    </w:p>
    <w:p w14:paraId="5CDAC2ED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>综合考虑资金管理、产出、效果、满意度等各方面因素，通过数据采集及分析，最终评分结果：提前下达2023年重大传染病防控经费绩效自评价结果为:总得分100分，属于"优"。</w:t>
      </w:r>
    </w:p>
    <w:p w14:paraId="4F74D550">
      <w:pPr>
        <w:ind w:firstLine="560"/>
      </w:pPr>
    </w:p>
    <w:p w14:paraId="50284863">
      <w:pPr>
        <w:pStyle w:val="22"/>
        <w:ind w:left="560"/>
      </w:pPr>
      <w:bookmarkStart w:id="20" w:name="_Toc56442944"/>
      <w:bookmarkStart w:id="21" w:name="_Toc56442886"/>
      <w:bookmarkStart w:id="22" w:name="_Toc2119"/>
      <w:r>
        <w:rPr>
          <w:rFonts w:hint="eastAsia"/>
        </w:rPr>
        <w:t>（二）指标分析</w:t>
      </w:r>
    </w:p>
    <w:bookmarkEnd w:id="20"/>
    <w:bookmarkEnd w:id="21"/>
    <w:bookmarkEnd w:id="22"/>
    <w:p w14:paraId="346DCE24">
      <w:pPr>
        <w:pStyle w:val="13"/>
        <w:ind w:firstLine="560"/>
      </w:pPr>
      <w:r>
        <w:rPr>
          <w:rFonts w:hint="eastAsia"/>
        </w:rPr>
        <w:t>1.绩效目标完成的指标</w:t>
      </w:r>
    </w:p>
    <w:p w14:paraId="099A22E1">
      <w:pPr>
        <w:pStyle w:val="13"/>
        <w:ind w:firstLine="560"/>
        <w:rPr>
          <w:rFonts w:ascii="宋体" w:hAnsi="宋体" w:eastAsia="宋体" w:cs="宋体"/>
          <w:sz w:val="20"/>
          <w:u w:val="none"/>
        </w:rPr>
      </w:pP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(1)</w:t>
      </w:r>
      <w:r>
        <w:rPr>
          <w:rFonts w:ascii="宋体" w:hAnsi="宋体" w:eastAsia="宋体" w:cs="宋体"/>
          <w:sz w:val="20"/>
          <w:u w:val="none"/>
        </w:rPr>
        <w:t>项目目标完成率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100%</w:t>
      </w:r>
      <w:r>
        <w:rPr>
          <w:rFonts w:ascii="宋体" w:hAnsi="宋体" w:eastAsia="宋体" w:cs="宋体"/>
          <w:sz w:val="20"/>
          <w:u w:val="none"/>
        </w:rPr>
        <w:t xml:space="preserve">; </w:t>
      </w:r>
    </w:p>
    <w:p w14:paraId="33752BC5">
      <w:pPr>
        <w:pStyle w:val="13"/>
        <w:ind w:firstLine="56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(2)</w:t>
      </w:r>
      <w:r>
        <w:rPr>
          <w:rFonts w:ascii="宋体" w:hAnsi="宋体" w:eastAsia="宋体" w:cs="宋体"/>
          <w:sz w:val="20"/>
          <w:u w:val="none"/>
        </w:rPr>
        <w:t>项目完成质量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:</w:t>
      </w:r>
      <w:r>
        <w:rPr>
          <w:rFonts w:ascii="宋体" w:hAnsi="宋体" w:eastAsia="宋体" w:cs="宋体"/>
          <w:sz w:val="20"/>
          <w:u w:val="none"/>
        </w:rPr>
        <w:tab/>
      </w:r>
      <w:r>
        <w:rPr>
          <w:rFonts w:ascii="宋体" w:hAnsi="宋体" w:eastAsia="宋体" w:cs="宋体"/>
          <w:sz w:val="20"/>
          <w:u w:val="none"/>
        </w:rPr>
        <w:t>严重精神障碍管理治疗项目年度内只完成了病人筛查入组建档320人，其他工作按项目执行进度安排在2023年8月30日之前完成。
艾滋病防治项目年度内完成HIV检测39人次，偷吸毒品检查242人次，丙肝检查44人次，梅毒检测45人次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;</w:t>
      </w:r>
    </w:p>
    <w:p w14:paraId="7389FC30">
      <w:pPr>
        <w:pStyle w:val="13"/>
        <w:ind w:firstLine="56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(3)</w:t>
      </w:r>
      <w:r>
        <w:rPr>
          <w:rFonts w:ascii="宋体" w:hAnsi="宋体" w:eastAsia="宋体" w:cs="宋体"/>
          <w:sz w:val="20"/>
          <w:u w:val="none"/>
        </w:rPr>
        <w:t>有效控制传染病疫情</w:t>
      </w:r>
      <w:r>
        <w:rPr>
          <w:rFonts w:hint="eastAsia" w:ascii="宋体" w:hAnsi="宋体" w:eastAsia="宋体" w:cs="宋体"/>
          <w:sz w:val="20"/>
          <w:u w:val="none"/>
          <w:lang w:val="en-US" w:eastAsia="zh-CN"/>
        </w:rPr>
        <w:t>.</w:t>
      </w:r>
      <w:bookmarkStart w:id="31" w:name="_GoBack"/>
      <w:bookmarkEnd w:id="31"/>
    </w:p>
    <w:p w14:paraId="0F9CB7B9">
      <w:pPr>
        <w:pStyle w:val="13"/>
        <w:ind w:firstLine="560"/>
      </w:pPr>
      <w:r>
        <w:rPr>
          <w:rFonts w:hint="eastAsia"/>
        </w:rPr>
        <w:t>2.没有完成绩效目标的指标</w:t>
      </w:r>
    </w:p>
    <w:p w14:paraId="0A40F878">
      <w:pPr>
        <w:pStyle w:val="13"/>
        <w:ind w:firstLine="560"/>
      </w:pPr>
    </w:p>
    <w:p w14:paraId="7988D946">
      <w:pPr>
        <w:ind w:firstLine="560"/>
      </w:pPr>
    </w:p>
    <w:p w14:paraId="12044FCA">
      <w:pPr>
        <w:pStyle w:val="18"/>
      </w:pPr>
      <w:bookmarkStart w:id="23" w:name="_Toc56442948"/>
      <w:bookmarkStart w:id="24" w:name="_Toc20132"/>
      <w:bookmarkStart w:id="25" w:name="_Toc56442890"/>
      <w:r>
        <w:rPr>
          <w:rFonts w:hint="eastAsia"/>
        </w:rPr>
        <w:t>三、存在的问题和建议</w:t>
      </w:r>
      <w:bookmarkEnd w:id="23"/>
      <w:bookmarkEnd w:id="24"/>
      <w:bookmarkEnd w:id="25"/>
    </w:p>
    <w:p w14:paraId="4A75A783">
      <w:pPr>
        <w:pStyle w:val="22"/>
        <w:ind w:left="560"/>
      </w:pPr>
      <w:bookmarkStart w:id="26" w:name="_Toc56442889"/>
      <w:bookmarkStart w:id="27" w:name="_Toc56442947"/>
      <w:bookmarkStart w:id="28" w:name="_Toc19895"/>
      <w:r>
        <w:rPr>
          <w:rFonts w:hint="eastAsia"/>
        </w:rPr>
        <w:t>（一）存在的问题</w:t>
      </w:r>
      <w:bookmarkEnd w:id="26"/>
      <w:bookmarkEnd w:id="27"/>
      <w:bookmarkEnd w:id="28"/>
    </w:p>
    <w:p w14:paraId="1EA83019"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项目在资金到位后，没有立即开展，主要是2022年存在剩余资金，在2023年使用。</w:t>
      </w:r>
    </w:p>
    <w:p w14:paraId="3549EAF3">
      <w:pPr>
        <w:pStyle w:val="22"/>
        <w:ind w:left="560"/>
      </w:pPr>
      <w:bookmarkStart w:id="29" w:name="_Toc21644"/>
      <w:r>
        <w:rPr>
          <w:rFonts w:hint="eastAsia"/>
        </w:rPr>
        <w:t>（二）改进建议</w:t>
      </w:r>
      <w:bookmarkEnd w:id="29"/>
    </w:p>
    <w:p w14:paraId="6FC74B22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1.对项目决策的建议</w:t>
      </w:r>
    </w:p>
    <w:p w14:paraId="4B9A55E8">
      <w:pPr>
        <w:pStyle w:val="13"/>
        <w:ind w:firstLine="600" w:firstLineChars="300"/>
      </w:pPr>
      <w:r>
        <w:rPr>
          <w:rFonts w:ascii="宋体" w:hAnsi="宋体" w:eastAsia="宋体" w:cs="宋体"/>
          <w:sz w:val="20"/>
          <w:u w:val="none"/>
        </w:rPr>
        <w:t>完善制度，促进项目资金合理安排，科学使用，提高财政资金使用效率，推进基本公共卫生服务的创新机制，加强公共卫生资金管理。</w:t>
      </w:r>
    </w:p>
    <w:p w14:paraId="7ADE772D">
      <w:pPr>
        <w:pStyle w:val="15"/>
        <w:ind w:left="560"/>
      </w:pPr>
      <w:r>
        <w:rPr>
          <w:rFonts w:hint="eastAsia"/>
        </w:rPr>
        <w:t>2.对预算安排及执行情况的建议</w:t>
      </w:r>
    </w:p>
    <w:p w14:paraId="438EE7A4">
      <w:pPr>
        <w:pStyle w:val="13"/>
        <w:ind w:firstLine="142" w:firstLineChars="71"/>
      </w:pPr>
      <w:r>
        <w:rPr>
          <w:rFonts w:ascii="宋体" w:hAnsi="宋体" w:eastAsia="宋体" w:cs="宋体"/>
          <w:sz w:val="20"/>
          <w:u w:val="none"/>
        </w:rPr>
        <w:t xml:space="preserve">      1、规范项目支出预算编制工作，建立科学有效的审核机制和项目立项规则。</w:t>
      </w:r>
      <w:r>
        <w:rPr>
          <w:rFonts w:ascii="宋体" w:hAnsi="宋体" w:eastAsia="宋体" w:cs="宋体"/>
          <w:sz w:val="20"/>
          <w:u w:val="none"/>
        </w:rPr>
        <w:cr/>
      </w:r>
      <w:r>
        <w:rPr>
          <w:rFonts w:ascii="宋体" w:hAnsi="宋体" w:eastAsia="宋体" w:cs="宋体"/>
          <w:sz w:val="20"/>
          <w:u w:val="none"/>
        </w:rPr>
        <w:t>
2、提高项目资金预算执行约束力，规范项目资金使用的程序审批。</w:t>
      </w:r>
      <w:r>
        <w:rPr>
          <w:rFonts w:ascii="宋体" w:hAnsi="宋体" w:eastAsia="宋体" w:cs="宋体"/>
          <w:sz w:val="20"/>
          <w:u w:val="none"/>
        </w:rPr>
        <w:cr/>
      </w:r>
      <w:r>
        <w:rPr>
          <w:rFonts w:ascii="宋体" w:hAnsi="宋体" w:eastAsia="宋体" w:cs="宋体"/>
          <w:sz w:val="20"/>
          <w:u w:val="none"/>
        </w:rPr>
        <w:t>
3、加强对项目资金评审监督和绩效考核，规范考核机制，强化绩效跟踪，细化评价项目，严格绩效问责。</w:t>
      </w:r>
    </w:p>
    <w:p w14:paraId="5C5966CD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3.对资金管理的建议</w:t>
      </w:r>
    </w:p>
    <w:p w14:paraId="6CC9B9B6">
      <w:pPr>
        <w:pStyle w:val="13"/>
        <w:ind w:firstLine="560"/>
      </w:pPr>
      <w:r>
        <w:rPr>
          <w:rFonts w:ascii="宋体" w:hAnsi="宋体" w:eastAsia="宋体" w:cs="宋体"/>
          <w:sz w:val="20"/>
          <w:u w:val="none"/>
        </w:rPr>
        <w:t xml:space="preserve">     1、加强部门预算管理，提升项目实施的精准度。</w:t>
      </w:r>
      <w:r>
        <w:rPr>
          <w:rFonts w:ascii="宋体" w:hAnsi="宋体" w:eastAsia="宋体" w:cs="宋体"/>
          <w:sz w:val="20"/>
          <w:u w:val="none"/>
        </w:rPr>
        <w:cr/>
      </w:r>
      <w:r>
        <w:rPr>
          <w:rFonts w:ascii="宋体" w:hAnsi="宋体" w:eastAsia="宋体" w:cs="宋体"/>
          <w:sz w:val="20"/>
          <w:u w:val="none"/>
        </w:rPr>
        <w:t>
2、制订专项资金考评和管控体系，实行全程监管。</w:t>
      </w:r>
      <w:r>
        <w:rPr>
          <w:rFonts w:ascii="宋体" w:hAnsi="宋体" w:eastAsia="宋体" w:cs="宋体"/>
          <w:sz w:val="20"/>
          <w:u w:val="none"/>
        </w:rPr>
        <w:cr/>
      </w:r>
      <w:r>
        <w:rPr>
          <w:rFonts w:ascii="宋体" w:hAnsi="宋体" w:eastAsia="宋体" w:cs="宋体"/>
          <w:sz w:val="20"/>
          <w:u w:val="none"/>
        </w:rPr>
        <w:t>
3、赋予财务人员对专项资金的管理权限，参与到项目实施的全过程。</w:t>
      </w:r>
    </w:p>
    <w:p w14:paraId="11E662E5">
      <w:pPr>
        <w:pStyle w:val="13"/>
        <w:ind w:firstLine="562"/>
        <w:rPr>
          <w:b/>
          <w:bCs/>
        </w:rPr>
      </w:pPr>
      <w:r>
        <w:rPr>
          <w:rFonts w:hint="eastAsia"/>
          <w:b/>
          <w:bCs/>
        </w:rPr>
        <w:t>4.对项目管理的建议</w:t>
      </w:r>
    </w:p>
    <w:p w14:paraId="4E6CB4B2">
      <w:pPr>
        <w:pStyle w:val="13"/>
        <w:ind w:firstLine="742" w:firstLineChars="371"/>
      </w:pPr>
      <w:r>
        <w:rPr>
          <w:rFonts w:ascii="宋体" w:hAnsi="宋体" w:eastAsia="宋体" w:cs="宋体"/>
          <w:sz w:val="20"/>
          <w:u w:val="none"/>
        </w:rPr>
        <w:t>1、加强领导，规范项目资金使用管理制度，严格按照预算安排进度执行。</w:t>
      </w:r>
      <w:r>
        <w:rPr>
          <w:rFonts w:ascii="宋体" w:hAnsi="宋体" w:eastAsia="宋体" w:cs="宋体"/>
          <w:sz w:val="20"/>
          <w:u w:val="none"/>
        </w:rPr>
        <w:cr/>
      </w:r>
      <w:r>
        <w:rPr>
          <w:rFonts w:ascii="宋体" w:hAnsi="宋体" w:eastAsia="宋体" w:cs="宋体"/>
          <w:sz w:val="20"/>
          <w:u w:val="none"/>
        </w:rPr>
        <w:t>
2、突出重点，确保项目资金合理使用。</w:t>
      </w:r>
      <w:r>
        <w:rPr>
          <w:rFonts w:ascii="宋体" w:hAnsi="宋体" w:eastAsia="宋体" w:cs="宋体"/>
          <w:sz w:val="20"/>
          <w:u w:val="none"/>
        </w:rPr>
        <w:cr/>
      </w:r>
      <w:r>
        <w:rPr>
          <w:rFonts w:ascii="宋体" w:hAnsi="宋体" w:eastAsia="宋体" w:cs="宋体"/>
          <w:sz w:val="20"/>
          <w:u w:val="none"/>
        </w:rPr>
        <w:t>
3、细化项目工作方案，完善工作机制，加快项目服务能力和服务病人水平。</w:t>
      </w:r>
      <w:r>
        <w:rPr>
          <w:rFonts w:ascii="宋体" w:hAnsi="宋体" w:eastAsia="宋体" w:cs="宋体"/>
          <w:sz w:val="20"/>
          <w:u w:val="none"/>
        </w:rPr>
        <w:cr/>
      </w:r>
      <w:r>
        <w:rPr>
          <w:rFonts w:ascii="宋体" w:hAnsi="宋体" w:eastAsia="宋体" w:cs="宋体"/>
          <w:sz w:val="20"/>
          <w:u w:val="none"/>
        </w:rPr>
        <w:t>
4、规范项目管理及规律治疗水平，加快贫困患者医疗救助力度。</w:t>
      </w:r>
    </w:p>
    <w:p w14:paraId="3B5CF1C6">
      <w:pPr>
        <w:pStyle w:val="13"/>
        <w:ind w:firstLine="562"/>
      </w:pPr>
      <w:r>
        <w:rPr>
          <w:rFonts w:hint="eastAsia"/>
          <w:b/>
          <w:bCs/>
        </w:rPr>
        <w:t>5.其他建议</w:t>
      </w:r>
      <w:r>
        <w:rPr>
          <w:rFonts w:hint="eastAsia"/>
        </w:rPr>
        <w:tab/>
      </w:r>
    </w:p>
    <w:p w14:paraId="77B3FBFD">
      <w:pPr>
        <w:ind w:firstLine="1161" w:firstLineChars="413"/>
        <w:rPr>
          <w:rFonts w:ascii="宋体" w:hAnsi="宋体" w:eastAsia="宋体"/>
          <w:b/>
          <w:bCs/>
        </w:rPr>
      </w:pPr>
    </w:p>
    <w:p w14:paraId="4ED7088E">
      <w:pPr>
        <w:pStyle w:val="22"/>
        <w:ind w:left="0" w:leftChars="0"/>
      </w:pPr>
      <w:r>
        <w:br w:type="page"/>
      </w:r>
      <w:bookmarkStart w:id="30" w:name="_Toc12241"/>
      <w:r>
        <w:rPr>
          <w:rFonts w:eastAsia="仿宋"/>
        </w:rPr>
        <w:t xml:space="preserve">附表1 </w:t>
      </w:r>
      <w:r>
        <w:rPr>
          <w:rFonts w:hint="eastAsia" w:eastAsia="仿宋"/>
        </w:rPr>
        <w:t>自评价</w:t>
      </w:r>
      <w:r>
        <w:rPr>
          <w:rFonts w:eastAsia="仿宋"/>
        </w:rPr>
        <w:t>评分表</w:t>
      </w:r>
      <w:bookmarkEnd w:id="30"/>
    </w:p>
    <w:tbl>
      <w:tblPr>
        <w:tblStyle w:val="8"/>
        <w:tblW w:w="9072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14"/>
        <w:gridCol w:w="1015"/>
        <w:gridCol w:w="1130"/>
        <w:gridCol w:w="1130"/>
        <w:gridCol w:w="732"/>
        <w:gridCol w:w="732"/>
        <w:gridCol w:w="1795"/>
        <w:gridCol w:w="32"/>
      </w:tblGrid>
      <w:tr w14:paraId="25210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9"/>
            <w:shd w:val="clear" w:color="auto" w:fill="BFBFBF"/>
          </w:tcPr>
          <w:p w14:paraId="2A6FFBF1">
            <w:pPr>
              <w:spacing w:line="240" w:lineRule="atLeast"/>
              <w:ind w:firstLine="0" w:firstLineChars="0"/>
              <w:jc w:val="center"/>
              <w:rPr>
                <w:rFonts w:ascii="黑体" w:hAnsi="黑体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自评价评分附件表</w:t>
            </w:r>
          </w:p>
        </w:tc>
      </w:tr>
      <w:tr w14:paraId="276791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4C1045BE">
            <w:pPr>
              <w:ind w:firstLine="0"/>
            </w:pPr>
            <w:r>
              <w:rPr>
                <w:sz w:val="20"/>
              </w:rPr>
              <w:t>一级指标</w:t>
            </w:r>
          </w:p>
        </w:tc>
        <w:tc>
          <w:tcPr>
            <w:tcW w:w="5000" w:type="dxa"/>
            <w:vMerge w:val="restart"/>
          </w:tcPr>
          <w:p w14:paraId="48C3973E">
            <w:pPr>
              <w:ind w:firstLine="0"/>
            </w:pPr>
            <w:r>
              <w:rPr>
                <w:sz w:val="20"/>
              </w:rPr>
              <w:t>二级指标</w:t>
            </w:r>
          </w:p>
        </w:tc>
        <w:tc>
          <w:tcPr>
            <w:tcW w:w="5000" w:type="dxa"/>
          </w:tcPr>
          <w:p w14:paraId="77B2BC01">
            <w:pPr>
              <w:ind w:firstLine="0"/>
            </w:pPr>
            <w:r>
              <w:rPr>
                <w:sz w:val="20"/>
              </w:rPr>
              <w:t>三级指标</w:t>
            </w:r>
          </w:p>
        </w:tc>
        <w:tc>
          <w:tcPr>
            <w:tcW w:w="5000" w:type="dxa"/>
          </w:tcPr>
          <w:p w14:paraId="4605E037">
            <w:pPr>
              <w:ind w:firstLine="0"/>
            </w:pPr>
            <w:r>
              <w:rPr>
                <w:sz w:val="20"/>
              </w:rPr>
              <w:t>年度目标值</w:t>
            </w:r>
          </w:p>
        </w:tc>
        <w:tc>
          <w:tcPr>
            <w:tcW w:w="5000" w:type="dxa"/>
          </w:tcPr>
          <w:p w14:paraId="027868AE">
            <w:pPr>
              <w:ind w:firstLine="0"/>
            </w:pPr>
            <w:r>
              <w:rPr>
                <w:sz w:val="20"/>
              </w:rPr>
              <w:t>实际完成值</w:t>
            </w:r>
          </w:p>
        </w:tc>
        <w:tc>
          <w:tcPr>
            <w:tcW w:w="5000" w:type="dxa"/>
          </w:tcPr>
          <w:p w14:paraId="7E242E84">
            <w:pPr>
              <w:ind w:firstLine="0"/>
            </w:pPr>
            <w:r>
              <w:rPr>
                <w:sz w:val="20"/>
              </w:rPr>
              <w:t>分值</w:t>
            </w:r>
          </w:p>
        </w:tc>
        <w:tc>
          <w:tcPr>
            <w:tcW w:w="5000" w:type="dxa"/>
          </w:tcPr>
          <w:p w14:paraId="712F82DF">
            <w:pPr>
              <w:ind w:firstLine="0"/>
            </w:pPr>
            <w:r>
              <w:rPr>
                <w:sz w:val="20"/>
              </w:rPr>
              <w:t>得分</w:t>
            </w:r>
          </w:p>
        </w:tc>
        <w:tc>
          <w:tcPr>
            <w:tcW w:w="5000" w:type="dxa"/>
          </w:tcPr>
          <w:p w14:paraId="2B5E0726">
            <w:pPr>
              <w:ind w:firstLine="0"/>
            </w:pPr>
            <w:r>
              <w:rPr>
                <w:sz w:val="20"/>
              </w:rPr>
              <w:t>偏差原因分析</w:t>
            </w:r>
          </w:p>
        </w:tc>
      </w:tr>
      <w:tr w14:paraId="67EB0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restart"/>
          </w:tcPr>
          <w:p w14:paraId="37D7697D"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 w14:paraId="2BAF8E19">
            <w:pPr>
              <w:ind w:firstLine="0"/>
            </w:pPr>
            <w:r>
              <w:rPr>
                <w:sz w:val="20"/>
              </w:rPr>
              <w:t>数量指标</w:t>
            </w:r>
          </w:p>
        </w:tc>
        <w:tc>
          <w:tcPr>
            <w:tcW w:w="5000" w:type="dxa"/>
          </w:tcPr>
          <w:p w14:paraId="629BF531">
            <w:pPr>
              <w:ind w:firstLine="0"/>
            </w:pPr>
            <w:r>
              <w:rPr>
                <w:sz w:val="20"/>
              </w:rPr>
              <w:t>项目目标完成率</w:t>
            </w:r>
          </w:p>
        </w:tc>
        <w:tc>
          <w:tcPr>
            <w:tcW w:w="5000" w:type="dxa"/>
          </w:tcPr>
          <w:p w14:paraId="3B4B5944">
            <w:pPr>
              <w:ind w:firstLine="0"/>
            </w:pPr>
            <w:r>
              <w:rPr>
                <w:sz w:val="20"/>
              </w:rPr>
              <w:t>=100%</w:t>
            </w:r>
          </w:p>
        </w:tc>
        <w:tc>
          <w:tcPr>
            <w:tcW w:w="5000" w:type="dxa"/>
          </w:tcPr>
          <w:p w14:paraId="07527497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64BB6DF3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08993617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1EDE82E6">
            <w:pPr>
              <w:ind w:firstLine="0"/>
            </w:pPr>
          </w:p>
        </w:tc>
      </w:tr>
      <w:tr w14:paraId="7D475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00" w:hRule="atLeast"/>
        </w:trPr>
        <w:tc>
          <w:tcPr>
            <w:tcW w:w="5000" w:type="dxa"/>
            <w:vMerge w:val="continue"/>
          </w:tcPr>
          <w:p w14:paraId="6FE568B1">
            <w:pPr>
              <w:ind w:firstLine="0"/>
            </w:pPr>
            <w:r>
              <w:rPr>
                <w:sz w:val="20"/>
              </w:rPr>
              <w:t>产出指标</w:t>
            </w:r>
          </w:p>
        </w:tc>
        <w:tc>
          <w:tcPr>
            <w:tcW w:w="5000" w:type="dxa"/>
            <w:vMerge w:val="restart"/>
          </w:tcPr>
          <w:p w14:paraId="59D83705">
            <w:pPr>
              <w:ind w:firstLine="0"/>
            </w:pPr>
            <w:r>
              <w:rPr>
                <w:sz w:val="20"/>
              </w:rPr>
              <w:t>质量指标</w:t>
            </w:r>
          </w:p>
        </w:tc>
        <w:tc>
          <w:tcPr>
            <w:tcW w:w="5000" w:type="dxa"/>
          </w:tcPr>
          <w:p w14:paraId="0155D7AB">
            <w:pPr>
              <w:ind w:firstLine="0"/>
            </w:pPr>
            <w:r>
              <w:rPr>
                <w:sz w:val="20"/>
              </w:rPr>
              <w:t>项目完成质量</w:t>
            </w:r>
          </w:p>
        </w:tc>
        <w:tc>
          <w:tcPr>
            <w:tcW w:w="5000" w:type="dxa"/>
          </w:tcPr>
          <w:p w14:paraId="6C99687A">
            <w:pPr>
              <w:ind w:firstLine="0"/>
            </w:pPr>
            <w:r>
              <w:rPr>
                <w:sz w:val="20"/>
              </w:rPr>
              <w:t>高</w:t>
            </w:r>
          </w:p>
        </w:tc>
        <w:tc>
          <w:tcPr>
            <w:tcW w:w="5000" w:type="dxa"/>
          </w:tcPr>
          <w:p w14:paraId="330906A9">
            <w:pPr>
              <w:ind w:firstLine="0"/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190454B6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6A65DFC7">
            <w:pPr>
              <w:ind w:firstLine="0"/>
            </w:pPr>
            <w:r>
              <w:rPr>
                <w:sz w:val="20"/>
              </w:rPr>
              <w:t>20</w:t>
            </w:r>
          </w:p>
        </w:tc>
        <w:tc>
          <w:tcPr>
            <w:tcW w:w="5000" w:type="dxa"/>
          </w:tcPr>
          <w:p w14:paraId="66C263E7">
            <w:pPr>
              <w:ind w:firstLine="0"/>
            </w:pPr>
          </w:p>
        </w:tc>
      </w:tr>
      <w:tr w14:paraId="6DB70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" w:type="dxa"/>
          <w:trHeight w:val="500" w:hRule="atLeast"/>
        </w:trPr>
        <w:tc>
          <w:tcPr>
            <w:tcW w:w="5000" w:type="dxa"/>
          </w:tcPr>
          <w:p w14:paraId="21CE09D1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效益指标</w:t>
            </w:r>
          </w:p>
        </w:tc>
        <w:tc>
          <w:tcPr>
            <w:tcW w:w="5000" w:type="dxa"/>
          </w:tcPr>
          <w:p w14:paraId="785B4AEC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社会效益指标</w:t>
            </w:r>
          </w:p>
        </w:tc>
        <w:tc>
          <w:tcPr>
            <w:tcW w:w="5000" w:type="dxa"/>
          </w:tcPr>
          <w:p w14:paraId="6156422F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有效控制传染病疫情</w:t>
            </w:r>
          </w:p>
        </w:tc>
        <w:tc>
          <w:tcPr>
            <w:tcW w:w="5000" w:type="dxa"/>
          </w:tcPr>
          <w:p w14:paraId="4535E80E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处于低流行水平</w:t>
            </w:r>
          </w:p>
        </w:tc>
        <w:tc>
          <w:tcPr>
            <w:tcW w:w="5000" w:type="dxa"/>
          </w:tcPr>
          <w:p w14:paraId="401438E7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14:paraId="62D7CB42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000" w:type="dxa"/>
          </w:tcPr>
          <w:p w14:paraId="0B9D9EE9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5000" w:type="dxa"/>
          </w:tcPr>
          <w:p w14:paraId="38E614C1">
            <w:pPr>
              <w:pStyle w:val="13"/>
              <w:spacing w:line="240" w:lineRule="exact"/>
              <w:ind w:firstLine="0" w:firstLineChars="0"/>
              <w:jc w:val="center"/>
              <w:rPr>
                <w:sz w:val="18"/>
                <w:szCs w:val="18"/>
              </w:rPr>
            </w:pPr>
          </w:p>
        </w:tc>
      </w:tr>
    </w:tbl>
    <w:p w14:paraId="22A97FF1">
      <w:pPr>
        <w:ind w:firstLine="0" w:firstLineChars="0"/>
      </w:pPr>
    </w:p>
    <w:p w14:paraId="5A4D76C0">
      <w:pPr>
        <w:pStyle w:val="13"/>
        <w:ind w:firstLine="198" w:firstLineChars="71"/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81" w:charSpace="0"/>
        </w:sectPr>
      </w:pPr>
    </w:p>
    <w:p w14:paraId="5AA3C8CB">
      <w:pPr>
        <w:pStyle w:val="7"/>
        <w:ind w:firstLine="0" w:firstLineChars="0"/>
        <w:jc w:val="both"/>
      </w:pPr>
    </w:p>
    <w:p w14:paraId="494E1E6C">
      <w:pPr>
        <w:ind w:firstLine="560"/>
      </w:pPr>
    </w:p>
    <w:sectPr>
      <w:headerReference r:id="rId13" w:type="first"/>
      <w:footerReference r:id="rId16" w:type="first"/>
      <w:headerReference r:id="rId11" w:type="default"/>
      <w:footerReference r:id="rId14" w:type="default"/>
      <w:headerReference r:id="rId12" w:type="even"/>
      <w:footerReference r:id="rId1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4B310"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74E6473F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5D182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4BCC6">
    <w:pPr>
      <w:pStyle w:val="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59BEA"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 w14:paraId="1CFB38CD">
    <w:pPr>
      <w:pStyle w:val="5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63DDA">
    <w:pPr>
      <w:pStyle w:val="5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BF0A4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CE140"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AF8D3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7A046">
    <w:pPr>
      <w:pStyle w:val="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9CA25">
    <w:pPr>
      <w:pStyle w:val="6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24E87">
    <w:pPr>
      <w:pStyle w:val="6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762C8"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yODczZGQ5YjA2Yjc0YTg4NjczZmJmNjllZDRiNjMifQ=="/>
  </w:docVars>
  <w:rsids>
    <w:rsidRoot w:val="00F162A0"/>
    <w:rsid w:val="00011C36"/>
    <w:rsid w:val="00016B5D"/>
    <w:rsid w:val="00052489"/>
    <w:rsid w:val="000A7ADC"/>
    <w:rsid w:val="000D6D1C"/>
    <w:rsid w:val="000D6D59"/>
    <w:rsid w:val="00110E19"/>
    <w:rsid w:val="00152912"/>
    <w:rsid w:val="00193827"/>
    <w:rsid w:val="001F5E08"/>
    <w:rsid w:val="00236E9B"/>
    <w:rsid w:val="00281552"/>
    <w:rsid w:val="00327F83"/>
    <w:rsid w:val="003735F8"/>
    <w:rsid w:val="003B7F69"/>
    <w:rsid w:val="003D2071"/>
    <w:rsid w:val="004407E1"/>
    <w:rsid w:val="0048074D"/>
    <w:rsid w:val="004C04F3"/>
    <w:rsid w:val="004C19F5"/>
    <w:rsid w:val="00537773"/>
    <w:rsid w:val="006006D8"/>
    <w:rsid w:val="006417C1"/>
    <w:rsid w:val="00660FA0"/>
    <w:rsid w:val="0070424C"/>
    <w:rsid w:val="00724007"/>
    <w:rsid w:val="00732296"/>
    <w:rsid w:val="00743658"/>
    <w:rsid w:val="007C4E52"/>
    <w:rsid w:val="008A7395"/>
    <w:rsid w:val="008B6A0E"/>
    <w:rsid w:val="008E6B47"/>
    <w:rsid w:val="00933BF3"/>
    <w:rsid w:val="00971B9D"/>
    <w:rsid w:val="00992960"/>
    <w:rsid w:val="009B04B2"/>
    <w:rsid w:val="009B5A0B"/>
    <w:rsid w:val="00A70744"/>
    <w:rsid w:val="00B24F65"/>
    <w:rsid w:val="00B8339A"/>
    <w:rsid w:val="00B8498F"/>
    <w:rsid w:val="00BA6156"/>
    <w:rsid w:val="00BC0F32"/>
    <w:rsid w:val="00C04C23"/>
    <w:rsid w:val="00C47CBC"/>
    <w:rsid w:val="00C61059"/>
    <w:rsid w:val="00C73CC1"/>
    <w:rsid w:val="00D118FE"/>
    <w:rsid w:val="00DA2682"/>
    <w:rsid w:val="00DB7226"/>
    <w:rsid w:val="00E21CBA"/>
    <w:rsid w:val="00E65930"/>
    <w:rsid w:val="00E671D8"/>
    <w:rsid w:val="00F12F3A"/>
    <w:rsid w:val="00F162A0"/>
    <w:rsid w:val="00F212D0"/>
    <w:rsid w:val="00F24EEA"/>
    <w:rsid w:val="00F701C2"/>
    <w:rsid w:val="00FC14E3"/>
    <w:rsid w:val="00FC1F69"/>
    <w:rsid w:val="00FE0C1A"/>
    <w:rsid w:val="00FF2ACF"/>
    <w:rsid w:val="313D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next w:val="1"/>
    <w:link w:val="19"/>
    <w:qFormat/>
    <w:uiPriority w:val="1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</w:rPr>
  </w:style>
  <w:style w:type="character" w:customStyle="1" w:styleId="10">
    <w:name w:val="页眉 Char1"/>
    <w:basedOn w:val="9"/>
    <w:link w:val="6"/>
    <w:uiPriority w:val="99"/>
    <w:rPr>
      <w:sz w:val="18"/>
      <w:szCs w:val="18"/>
    </w:rPr>
  </w:style>
  <w:style w:type="character" w:customStyle="1" w:styleId="11">
    <w:name w:val="页脚 Char1"/>
    <w:basedOn w:val="9"/>
    <w:link w:val="5"/>
    <w:uiPriority w:val="99"/>
    <w:rPr>
      <w:sz w:val="18"/>
      <w:szCs w:val="18"/>
    </w:rPr>
  </w:style>
  <w:style w:type="character" w:customStyle="1" w:styleId="12">
    <w:name w:val="闻政-正文段落文字 Char"/>
    <w:link w:val="13"/>
    <w:qFormat/>
    <w:uiPriority w:val="3"/>
    <w:rPr>
      <w:rFonts w:ascii="Times New Roman" w:hAnsi="Times New Roman" w:eastAsia="仿宋_GB2312"/>
      <w:sz w:val="28"/>
      <w:szCs w:val="28"/>
    </w:rPr>
  </w:style>
  <w:style w:type="paragraph" w:customStyle="1" w:styleId="13">
    <w:name w:val="闻政-正文段落文字"/>
    <w:basedOn w:val="1"/>
    <w:link w:val="12"/>
    <w:qFormat/>
    <w:uiPriority w:val="3"/>
    <w:pPr>
      <w:spacing w:line="500" w:lineRule="exact"/>
      <w:ind w:firstLine="200"/>
    </w:pPr>
    <w:rPr>
      <w:rFonts w:ascii="Times New Roman" w:hAnsi="Times New Roman" w:cstheme="minorBidi"/>
      <w:szCs w:val="28"/>
    </w:rPr>
  </w:style>
  <w:style w:type="character" w:customStyle="1" w:styleId="14">
    <w:name w:val="闻政-正文三级标题 Char"/>
    <w:link w:val="15"/>
    <w:uiPriority w:val="3"/>
    <w:rPr>
      <w:rFonts w:ascii="Times New Roman" w:hAnsi="Times New Roman" w:eastAsia="仿宋_GB2312"/>
      <w:b/>
      <w:snapToGrid w:val="0"/>
      <w:sz w:val="28"/>
      <w:szCs w:val="28"/>
    </w:rPr>
  </w:style>
  <w:style w:type="paragraph" w:customStyle="1" w:styleId="15">
    <w:name w:val="闻政-正文三级标题"/>
    <w:basedOn w:val="1"/>
    <w:next w:val="13"/>
    <w:link w:val="14"/>
    <w:qFormat/>
    <w:uiPriority w:val="3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theme="minorBidi"/>
      <w:b/>
      <w:snapToGrid w:val="0"/>
      <w:szCs w:val="28"/>
    </w:rPr>
  </w:style>
  <w:style w:type="character" w:customStyle="1" w:styleId="16">
    <w:name w:val="页脚 Char"/>
    <w:uiPriority w:val="99"/>
    <w:rPr>
      <w:rFonts w:eastAsia="仿宋_GB2312" w:cs="黑体"/>
      <w:sz w:val="18"/>
      <w:szCs w:val="18"/>
    </w:rPr>
  </w:style>
  <w:style w:type="character" w:customStyle="1" w:styleId="17">
    <w:name w:val="闻政-正文一级标题 Char"/>
    <w:link w:val="18"/>
    <w:uiPriority w:val="3"/>
    <w:rPr>
      <w:rFonts w:ascii="黑体" w:hAnsi="黑体" w:eastAsia="黑体"/>
      <w:bCs/>
      <w:sz w:val="32"/>
      <w:szCs w:val="32"/>
    </w:rPr>
  </w:style>
  <w:style w:type="paragraph" w:customStyle="1" w:styleId="18">
    <w:name w:val="闻政-正文一级标题"/>
    <w:basedOn w:val="4"/>
    <w:next w:val="13"/>
    <w:link w:val="17"/>
    <w:qFormat/>
    <w:uiPriority w:val="3"/>
    <w:pPr>
      <w:spacing w:before="120" w:after="60" w:line="500" w:lineRule="exact"/>
      <w:ind w:firstLine="0" w:firstLineChars="0"/>
      <w:jc w:val="left"/>
      <w:outlineLvl w:val="0"/>
    </w:pPr>
    <w:rPr>
      <w:rFonts w:ascii="黑体" w:hAnsi="黑体" w:eastAsia="黑体" w:cstheme="minorBidi"/>
      <w:b w:val="0"/>
    </w:rPr>
  </w:style>
  <w:style w:type="character" w:customStyle="1" w:styleId="19">
    <w:name w:val="标题 Char"/>
    <w:link w:val="7"/>
    <w:uiPriority w:val="10"/>
    <w:rPr>
      <w:rFonts w:ascii="Cambria" w:hAnsi="Cambria"/>
      <w:b/>
      <w:bCs/>
      <w:sz w:val="32"/>
      <w:szCs w:val="32"/>
    </w:rPr>
  </w:style>
  <w:style w:type="character" w:customStyle="1" w:styleId="20">
    <w:name w:val="页眉 Char"/>
    <w:uiPriority w:val="99"/>
    <w:rPr>
      <w:rFonts w:eastAsia="仿宋_GB2312" w:cs="黑体"/>
      <w:sz w:val="18"/>
      <w:szCs w:val="18"/>
    </w:rPr>
  </w:style>
  <w:style w:type="character" w:customStyle="1" w:styleId="21">
    <w:name w:val="闻政-正文二级标题 Char"/>
    <w:link w:val="22"/>
    <w:uiPriority w:val="3"/>
    <w:rPr>
      <w:rFonts w:ascii="Times New Roman" w:hAnsi="Times New Roman" w:eastAsia="仿宋_GB2312"/>
      <w:b/>
      <w:bCs/>
      <w:sz w:val="28"/>
      <w:szCs w:val="32"/>
    </w:rPr>
  </w:style>
  <w:style w:type="paragraph" w:customStyle="1" w:styleId="22">
    <w:name w:val="闻政-正文二级标题"/>
    <w:basedOn w:val="3"/>
    <w:next w:val="13"/>
    <w:link w:val="21"/>
    <w:qFormat/>
    <w:uiPriority w:val="3"/>
    <w:pPr>
      <w:spacing w:before="120" w:after="60" w:line="500" w:lineRule="exact"/>
      <w:ind w:left="200" w:leftChars="200" w:firstLine="0" w:firstLineChars="0"/>
      <w:jc w:val="left"/>
    </w:pPr>
    <w:rPr>
      <w:rFonts w:ascii="Times New Roman" w:hAnsi="Times New Roman" w:eastAsia="仿宋_GB2312" w:cstheme="minorBidi"/>
      <w:sz w:val="28"/>
    </w:rPr>
  </w:style>
  <w:style w:type="character" w:customStyle="1" w:styleId="23">
    <w:name w:val="标题 1 Char"/>
    <w:basedOn w:val="9"/>
    <w:link w:val="2"/>
    <w:uiPriority w:val="9"/>
    <w:rPr>
      <w:rFonts w:ascii="Calibri" w:hAnsi="Calibri" w:eastAsia="仿宋_GB2312" w:cs="黑体"/>
      <w:b/>
      <w:bCs/>
      <w:kern w:val="44"/>
      <w:sz w:val="44"/>
      <w:szCs w:val="44"/>
    </w:rPr>
  </w:style>
  <w:style w:type="paragraph" w:customStyle="1" w:styleId="24">
    <w:name w:val="TOC Heading"/>
    <w:basedOn w:val="2"/>
    <w:next w:val="1"/>
    <w:qFormat/>
    <w:uiPriority w:val="39"/>
    <w:pPr>
      <w:widowControl/>
      <w:spacing w:before="480" w:after="0" w:line="276" w:lineRule="auto"/>
      <w:ind w:firstLine="0" w:firstLineChars="0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25">
    <w:name w:val="标题 字符"/>
    <w:basedOn w:val="9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6">
    <w:name w:val="标题 3 Char"/>
    <w:basedOn w:val="9"/>
    <w:link w:val="4"/>
    <w:semiHidden/>
    <w:uiPriority w:val="9"/>
    <w:rPr>
      <w:rFonts w:ascii="Calibri" w:hAnsi="Calibri" w:eastAsia="仿宋_GB2312" w:cs="黑体"/>
      <w:b/>
      <w:bCs/>
      <w:sz w:val="32"/>
      <w:szCs w:val="32"/>
    </w:rPr>
  </w:style>
  <w:style w:type="character" w:customStyle="1" w:styleId="27">
    <w:name w:val="标题 2 Char"/>
    <w:basedOn w:val="9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theme" Target="theme/theme1.xml"/><Relationship Id="rId16" Type="http://schemas.openxmlformats.org/officeDocument/2006/relationships/footer" Target="footer6.xml"/><Relationship Id="rId15" Type="http://schemas.openxmlformats.org/officeDocument/2006/relationships/footer" Target="footer5.xml"/><Relationship Id="rId14" Type="http://schemas.openxmlformats.org/officeDocument/2006/relationships/footer" Target="footer4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74BB1-235E-47DA-9B3D-30B82BFAFD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1120</Words>
  <Characters>1248</Characters>
  <Lines>6</Lines>
  <Paragraphs>1</Paragraphs>
  <TotalTime>0</TotalTime>
  <ScaleCrop>false</ScaleCrop>
  <LinksUpToDate>false</LinksUpToDate>
  <CharactersWithSpaces>1322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2020-12-10T04:14:00Z</dcterms:created>
  <dc:creator>志闯 赵</dc:creator>
  <cp:lastModifiedBy>小阳</cp:lastModifiedBy>
  <cp:lastPrinted>2024-06-05T00:52:10Z</cp:lastPrinted>
  <dcterms:modified xsi:type="dcterms:W3CDTF">2024-06-05T00:52:12Z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A2A52D80981B46E08EF319CFF0F0EE2F_12</vt:lpwstr>
  </property>
</Properties>
</file>