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B9C4E"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 w14:paraId="30684AA2"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 w14:paraId="2C03EAB7"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 w14:paraId="2D503B5C">
      <w:pPr>
        <w:spacing w:before="120" w:after="120" w:line="480" w:lineRule="auto"/>
        <w:ind w:firstLine="883"/>
        <w:jc w:val="center"/>
        <w:outlineLvl w:val="0"/>
        <w:rPr>
          <w:rFonts w:ascii="仿宋_GB2312" w:hAnsi="Arial"/>
          <w:b/>
          <w:sz w:val="44"/>
          <w:szCs w:val="44"/>
        </w:rPr>
      </w:pPr>
      <w:bookmarkStart w:id="0" w:name="_Toc56442937"/>
      <w:bookmarkStart w:id="1" w:name="_Toc24862"/>
      <w:bookmarkStart w:id="2" w:name="_Toc56443217"/>
      <w:r>
        <w:rPr>
          <w:rFonts w:hint="eastAsia" w:ascii="仿宋_GB2312" w:hAnsi="Arial"/>
          <w:b/>
          <w:sz w:val="44"/>
          <w:szCs w:val="44"/>
        </w:rPr>
        <w:t>财政项目支出绩效自评报告</w:t>
      </w:r>
      <w:bookmarkEnd w:id="0"/>
      <w:bookmarkEnd w:id="1"/>
      <w:bookmarkEnd w:id="2"/>
    </w:p>
    <w:p w14:paraId="7A01F9D5"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 w14:paraId="38DA502C"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 w14:paraId="2A428220"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 w14:paraId="5486CCCE"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 w14:paraId="526BEA1B"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 w14:paraId="1100DD89"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 w14:paraId="693F8E6F">
      <w:pPr>
        <w:spacing w:line="480" w:lineRule="auto"/>
        <w:ind w:firstLine="0" w:firstLineChars="0"/>
        <w:jc w:val="center"/>
        <w:rPr>
          <w:rFonts w:ascii="仿宋_GB2312" w:hAnsi="Times New Roman" w:cs="Times New Roman"/>
          <w:kern w:val="0"/>
          <w:sz w:val="30"/>
          <w:szCs w:val="30"/>
          <w:lang w:bidi="en-US"/>
        </w:rPr>
      </w:pPr>
    </w:p>
    <w:p w14:paraId="464824F8">
      <w:pPr>
        <w:spacing w:line="480" w:lineRule="auto"/>
        <w:ind w:firstLine="882" w:firstLineChars="441"/>
        <w:jc w:val="left"/>
        <w:rPr>
          <w:rFonts w:ascii="仿宋_GB2312" w:hAnsi="Times New Roman" w:cs="Times New Roman"/>
          <w:kern w:val="0"/>
          <w:sz w:val="32"/>
          <w:szCs w:val="32"/>
          <w:lang w:bidi="en-US"/>
        </w:rPr>
      </w:pPr>
      <w:r>
        <w:rPr>
          <w:rFonts w:ascii="宋体" w:hAnsi="宋体" w:eastAsia="宋体" w:cs="宋体"/>
          <w:sz w:val="20"/>
          <w:u w:val="none"/>
        </w:rPr>
        <w:t>项目名称：2023年公立医院综合改革</w:t>
      </w:r>
    </w:p>
    <w:p w14:paraId="58BF2678">
      <w:pPr>
        <w:spacing w:line="480" w:lineRule="auto"/>
        <w:ind w:firstLine="882" w:firstLineChars="441"/>
        <w:jc w:val="left"/>
        <w:rPr>
          <w:rFonts w:ascii="仿宋_GB2312" w:hAnsi="Times New Roman" w:cs="Times New Roman"/>
          <w:kern w:val="0"/>
          <w:sz w:val="32"/>
          <w:szCs w:val="32"/>
          <w:lang w:bidi="en-US"/>
        </w:rPr>
      </w:pPr>
      <w:r>
        <w:rPr>
          <w:rFonts w:ascii="宋体" w:hAnsi="宋体" w:eastAsia="宋体" w:cs="宋体"/>
          <w:sz w:val="20"/>
          <w:u w:val="none"/>
        </w:rPr>
        <w:t>项目单位：开封市第五人民医院</w:t>
      </w:r>
    </w:p>
    <w:p w14:paraId="3833A468">
      <w:pPr>
        <w:spacing w:line="480" w:lineRule="auto"/>
        <w:ind w:firstLine="882" w:firstLineChars="441"/>
        <w:jc w:val="left"/>
        <w:rPr>
          <w:rFonts w:ascii="仿宋_GB2312" w:hAnsi="Times New Roman" w:cs="Times New Roman"/>
          <w:kern w:val="0"/>
          <w:sz w:val="32"/>
          <w:szCs w:val="32"/>
          <w:lang w:bidi="en-US"/>
        </w:rPr>
      </w:pPr>
      <w:r>
        <w:rPr>
          <w:rFonts w:ascii="宋体" w:hAnsi="宋体" w:eastAsia="宋体" w:cs="宋体"/>
          <w:sz w:val="20"/>
          <w:u w:val="none"/>
        </w:rPr>
        <w:t>主管部门：卫健委</w:t>
      </w:r>
    </w:p>
    <w:p w14:paraId="30370951">
      <w:pPr>
        <w:spacing w:line="480" w:lineRule="auto"/>
        <w:ind w:firstLine="0" w:firstLineChars="0"/>
        <w:rPr>
          <w:rFonts w:ascii="黑体" w:hAnsi="Times New Roman" w:eastAsia="黑体" w:cs="Times New Roman"/>
          <w:b/>
          <w:kern w:val="0"/>
          <w:sz w:val="32"/>
          <w:szCs w:val="32"/>
          <w:lang w:bidi="en-US"/>
        </w:rPr>
      </w:pPr>
    </w:p>
    <w:p w14:paraId="4A6D329B">
      <w:pPr>
        <w:spacing w:line="480" w:lineRule="auto"/>
        <w:ind w:firstLine="0" w:firstLineChars="0"/>
        <w:rPr>
          <w:rFonts w:ascii="黑体" w:hAnsi="Times New Roman" w:eastAsia="黑体" w:cs="Times New Roman"/>
          <w:b/>
          <w:kern w:val="0"/>
          <w:sz w:val="32"/>
          <w:szCs w:val="32"/>
          <w:lang w:bidi="en-US"/>
        </w:rPr>
      </w:pPr>
    </w:p>
    <w:p w14:paraId="5A3B3767">
      <w:pPr>
        <w:spacing w:line="480" w:lineRule="auto"/>
        <w:ind w:firstLine="0" w:firstLineChars="0"/>
        <w:jc w:val="center"/>
        <w:rPr>
          <w:rFonts w:ascii="仿宋_GB2312" w:hAnsi="Times New Roman" w:cs="Times New Roman"/>
          <w:kern w:val="0"/>
          <w:sz w:val="32"/>
          <w:szCs w:val="32"/>
          <w:lang w:bidi="en-US"/>
        </w:rPr>
      </w:pPr>
      <w:r>
        <w:rPr>
          <w:rFonts w:ascii="宋体" w:hAnsi="宋体" w:eastAsia="宋体" w:cs="宋体"/>
          <w:sz w:val="20"/>
          <w:u w:val="none"/>
        </w:rPr>
        <w:t>2024年06月</w:t>
      </w:r>
    </w:p>
    <w:p w14:paraId="2CC9551E">
      <w:pPr>
        <w:pStyle w:val="24"/>
        <w:jc w:val="both"/>
      </w:pPr>
    </w:p>
    <w:p w14:paraId="46BD63EB">
      <w:pPr>
        <w:ind w:firstLine="0" w:firstLineChars="0"/>
        <w:rPr>
          <w:szCs w:val="44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3A60F018">
      <w:pPr>
        <w:pStyle w:val="18"/>
      </w:pPr>
      <w:bookmarkStart w:id="3" w:name="_Toc56442938"/>
      <w:bookmarkStart w:id="4" w:name="_Toc20727"/>
      <w:bookmarkStart w:id="5" w:name="_Toc56442880"/>
      <w:r>
        <w:rPr>
          <w:rFonts w:hint="eastAsia"/>
        </w:rPr>
        <w:t>一、项目基本情况</w:t>
      </w:r>
      <w:bookmarkEnd w:id="3"/>
      <w:bookmarkEnd w:id="4"/>
      <w:bookmarkEnd w:id="5"/>
    </w:p>
    <w:p w14:paraId="33E79E83">
      <w:pPr>
        <w:pStyle w:val="22"/>
        <w:ind w:left="199" w:leftChars="71"/>
      </w:pPr>
      <w:bookmarkStart w:id="6" w:name="_Toc56442939"/>
      <w:bookmarkStart w:id="7" w:name="_Toc56442881"/>
      <w:bookmarkStart w:id="8" w:name="_Toc11153"/>
      <w:r>
        <w:rPr>
          <w:rFonts w:hint="eastAsia"/>
        </w:rPr>
        <w:t>（一）项目</w:t>
      </w:r>
      <w:bookmarkEnd w:id="6"/>
      <w:bookmarkEnd w:id="7"/>
      <w:bookmarkEnd w:id="8"/>
      <w:r>
        <w:rPr>
          <w:rFonts w:hint="eastAsia"/>
        </w:rPr>
        <w:t>概况</w:t>
      </w:r>
    </w:p>
    <w:p w14:paraId="57B8E09B">
      <w:pPr>
        <w:pStyle w:val="13"/>
        <w:ind w:firstLine="560"/>
        <w:rPr>
          <w:rFonts w:hint="default" w:eastAsia="宋体"/>
          <w:lang w:val="en-US" w:eastAsia="zh-CN"/>
        </w:rPr>
      </w:pPr>
      <w:bookmarkStart w:id="9" w:name="_Toc56442882"/>
      <w:bookmarkStart w:id="10" w:name="_Toc5633"/>
      <w:bookmarkStart w:id="11" w:name="_Toc56442940"/>
      <w:r>
        <w:rPr>
          <w:rFonts w:ascii="宋体" w:hAnsi="宋体" w:eastAsia="宋体" w:cs="宋体"/>
          <w:sz w:val="20"/>
          <w:u w:val="none"/>
        </w:rPr>
        <w:t>2023年公立医院综合改革</w:t>
      </w:r>
      <w:r>
        <w:rPr>
          <w:rFonts w:hint="eastAsia" w:ascii="宋体" w:hAnsi="宋体" w:eastAsia="宋体" w:cs="宋体"/>
          <w:sz w:val="20"/>
          <w:u w:val="none"/>
          <w:lang w:val="en-US" w:eastAsia="zh-CN"/>
        </w:rPr>
        <w:t>项目，此项目主要是为了弥补公立医院改革给医院效益带来的影响，使医院能够稳定发展。</w:t>
      </w:r>
    </w:p>
    <w:p w14:paraId="6A8D6C0E">
      <w:pPr>
        <w:pStyle w:val="22"/>
        <w:ind w:left="199" w:leftChars="71"/>
      </w:pPr>
      <w:r>
        <w:rPr>
          <w:rFonts w:hint="eastAsia"/>
        </w:rPr>
        <w:t>（二）项目预算安排及使用情况</w:t>
      </w:r>
      <w:bookmarkEnd w:id="9"/>
      <w:bookmarkEnd w:id="10"/>
      <w:bookmarkEnd w:id="11"/>
      <w:r>
        <w:rPr>
          <w:rFonts w:hint="eastAsia"/>
        </w:rPr>
        <w:t xml:space="preserve"> </w:t>
      </w:r>
    </w:p>
    <w:p w14:paraId="4E773571">
      <w:pPr>
        <w:pStyle w:val="13"/>
        <w:ind w:firstLine="482"/>
        <w:jc w:val="center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表1-2-1 年度预算安排及使用情况统计表</w:t>
      </w:r>
    </w:p>
    <w:p w14:paraId="496527C8">
      <w:pPr>
        <w:pStyle w:val="13"/>
        <w:ind w:firstLine="482"/>
        <w:jc w:val="center"/>
        <w:rPr>
          <w:b/>
          <w:bCs/>
          <w:sz w:val="24"/>
          <w:szCs w:val="24"/>
        </w:rPr>
      </w:pPr>
      <w:r>
        <w:rPr>
          <w:rFonts w:ascii="宋体" w:hAnsi="宋体" w:eastAsia="宋体" w:cs="宋体"/>
          <w:sz w:val="20"/>
          <w:u w:val="none"/>
        </w:rPr>
        <w:t xml:space="preserve">                                           单位：万元 </w:t>
      </w:r>
    </w:p>
    <w:tbl>
      <w:tblPr>
        <w:tblStyle w:val="8"/>
        <w:tblW w:w="4696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0"/>
        <w:gridCol w:w="1640"/>
        <w:gridCol w:w="1639"/>
        <w:gridCol w:w="1821"/>
        <w:gridCol w:w="1602"/>
      </w:tblGrid>
      <w:tr w14:paraId="3CC57A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4A2085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CE5A72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年初预算数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708FDE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全年预算数</w:t>
            </w:r>
          </w:p>
        </w:tc>
        <w:tc>
          <w:tcPr>
            <w:tcW w:w="11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4C2A49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全年执行数</w:t>
            </w:r>
          </w:p>
        </w:tc>
        <w:tc>
          <w:tcPr>
            <w:tcW w:w="10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FF2F47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执行率</w:t>
            </w:r>
          </w:p>
        </w:tc>
      </w:tr>
      <w:tr w14:paraId="729C2B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08CE06"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年度资金总额：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D4C1C8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　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1AC409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7.40　</w:t>
            </w:r>
          </w:p>
        </w:tc>
        <w:tc>
          <w:tcPr>
            <w:tcW w:w="11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DF77D1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　</w:t>
            </w:r>
          </w:p>
        </w:tc>
        <w:tc>
          <w:tcPr>
            <w:tcW w:w="10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047228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0.0%</w:t>
            </w:r>
          </w:p>
        </w:tc>
      </w:tr>
      <w:tr w14:paraId="6A8555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32D025"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政府预算资金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67FC52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　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47D0BF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7.40　</w:t>
            </w:r>
          </w:p>
        </w:tc>
        <w:tc>
          <w:tcPr>
            <w:tcW w:w="11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200C12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</w:t>
            </w:r>
          </w:p>
        </w:tc>
        <w:tc>
          <w:tcPr>
            <w:tcW w:w="10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7C02D5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0.0%</w:t>
            </w:r>
          </w:p>
        </w:tc>
      </w:tr>
      <w:tr w14:paraId="77D5A4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24A171"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财政专户管理资金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523C13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　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D77E70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　</w:t>
            </w:r>
          </w:p>
        </w:tc>
        <w:tc>
          <w:tcPr>
            <w:tcW w:w="11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1A9136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　</w:t>
            </w:r>
          </w:p>
        </w:tc>
        <w:tc>
          <w:tcPr>
            <w:tcW w:w="10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41AEA4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0.00%</w:t>
            </w:r>
          </w:p>
        </w:tc>
      </w:tr>
      <w:tr w14:paraId="67EDA5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1CB715"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单位资金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A85349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8FC2E7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</w:t>
            </w:r>
          </w:p>
        </w:tc>
        <w:tc>
          <w:tcPr>
            <w:tcW w:w="11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34F846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</w:t>
            </w:r>
          </w:p>
        </w:tc>
        <w:tc>
          <w:tcPr>
            <w:tcW w:w="10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2585E5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0.00%</w:t>
            </w:r>
          </w:p>
        </w:tc>
      </w:tr>
    </w:tbl>
    <w:p w14:paraId="5A0AB01E">
      <w:pPr>
        <w:pStyle w:val="22"/>
        <w:ind w:left="199" w:leftChars="71"/>
      </w:pPr>
      <w:bookmarkStart w:id="12" w:name="_Toc56442883"/>
      <w:bookmarkStart w:id="13" w:name="_Toc56442941"/>
      <w:bookmarkStart w:id="14" w:name="_Toc15851"/>
      <w:r>
        <w:rPr>
          <w:rFonts w:hint="eastAsia"/>
        </w:rPr>
        <w:t>（三）</w:t>
      </w:r>
      <w:bookmarkEnd w:id="12"/>
      <w:bookmarkEnd w:id="13"/>
      <w:bookmarkEnd w:id="14"/>
      <w:r>
        <w:rPr>
          <w:rFonts w:hint="eastAsia"/>
        </w:rPr>
        <w:t>资金管理情况表</w:t>
      </w:r>
    </w:p>
    <w:p w14:paraId="065F0249">
      <w:pPr>
        <w:pStyle w:val="13"/>
        <w:ind w:firstLine="482"/>
        <w:jc w:val="center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表1-2-2 资金管理情况表</w:t>
      </w:r>
    </w:p>
    <w:tbl>
      <w:tblPr>
        <w:tblStyle w:val="8"/>
        <w:tblW w:w="8166" w:type="dxa"/>
        <w:tblInd w:w="-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3862"/>
        <w:gridCol w:w="3106"/>
      </w:tblGrid>
      <w:tr w14:paraId="44AA9B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B35BC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96435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情况说明</w:t>
            </w:r>
          </w:p>
        </w:tc>
        <w:tc>
          <w:tcPr>
            <w:tcW w:w="3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62948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存在问题和改进措施</w:t>
            </w:r>
          </w:p>
        </w:tc>
      </w:tr>
      <w:tr w14:paraId="53BFE9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7EFD9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安排科学性</w:t>
            </w:r>
          </w:p>
        </w:tc>
        <w:tc>
          <w:tcPr>
            <w:tcW w:w="3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932A4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资金安排急迫、可行，符合我院年度医疗服务能力提升的要求</w:t>
            </w:r>
          </w:p>
        </w:tc>
        <w:tc>
          <w:tcPr>
            <w:tcW w:w="3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8C37B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2AB037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08679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拨付合规性</w:t>
            </w:r>
          </w:p>
        </w:tc>
        <w:tc>
          <w:tcPr>
            <w:tcW w:w="3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380CF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资金拨付未到位</w:t>
            </w:r>
          </w:p>
        </w:tc>
        <w:tc>
          <w:tcPr>
            <w:tcW w:w="3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16F87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资金拨付未到位</w:t>
            </w:r>
          </w:p>
        </w:tc>
      </w:tr>
      <w:tr w14:paraId="7F4AA0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E6D8B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使用规范性</w:t>
            </w:r>
          </w:p>
        </w:tc>
        <w:tc>
          <w:tcPr>
            <w:tcW w:w="3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D3D4B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按专项资金管理办法合理使用，未有改变项目资金用途的情况</w:t>
            </w:r>
          </w:p>
        </w:tc>
        <w:tc>
          <w:tcPr>
            <w:tcW w:w="3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5513E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238BE4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atLeast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AD52F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预算绩效管理情况</w:t>
            </w:r>
          </w:p>
        </w:tc>
        <w:tc>
          <w:tcPr>
            <w:tcW w:w="3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14A6A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预算编制、预算过程管理、预算执行结果分析管理规范</w:t>
            </w:r>
          </w:p>
        </w:tc>
        <w:tc>
          <w:tcPr>
            <w:tcW w:w="3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06BFF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2EAC38E8">
      <w:pPr>
        <w:pStyle w:val="22"/>
        <w:ind w:left="199" w:leftChars="71"/>
      </w:pPr>
      <w:r>
        <w:rPr>
          <w:rFonts w:hint="eastAsia"/>
        </w:rPr>
        <w:t>（四）项目绩效目标</w:t>
      </w:r>
    </w:p>
    <w:p w14:paraId="671367C1">
      <w:pPr>
        <w:pStyle w:val="15"/>
        <w:ind w:leftChars="0"/>
      </w:pPr>
      <w:r>
        <w:rPr>
          <w:rFonts w:hint="eastAsia"/>
        </w:rPr>
        <w:t>1. 项目年度绩效目标</w:t>
      </w:r>
    </w:p>
    <w:p w14:paraId="6E8056CA">
      <w:pPr>
        <w:pStyle w:val="13"/>
        <w:ind w:firstLine="560"/>
      </w:pPr>
      <w:r>
        <w:rPr>
          <w:rFonts w:ascii="宋体" w:hAnsi="宋体" w:eastAsia="宋体" w:cs="宋体"/>
          <w:sz w:val="20"/>
          <w:u w:val="none"/>
        </w:rPr>
        <w:tab/>
        <w:t>用于2023年医疗设备和信息化系统的购置。</w:t>
      </w:r>
    </w:p>
    <w:p w14:paraId="4C8E7101">
      <w:pPr>
        <w:pStyle w:val="15"/>
        <w:ind w:left="199" w:leftChars="71"/>
      </w:pPr>
      <w:bookmarkStart w:id="15" w:name="_Toc56442942"/>
      <w:bookmarkStart w:id="16" w:name="_Toc56442884"/>
      <w:r>
        <w:rPr>
          <w:rFonts w:hint="eastAsia"/>
        </w:rPr>
        <w:t>2.项目年度绩效目标完成情况</w:t>
      </w:r>
      <w:bookmarkEnd w:id="15"/>
      <w:bookmarkEnd w:id="16"/>
    </w:p>
    <w:p w14:paraId="0F920351">
      <w:pPr>
        <w:pStyle w:val="13"/>
        <w:ind w:firstLine="560"/>
      </w:pPr>
      <w:r>
        <w:rPr>
          <w:rFonts w:ascii="宋体" w:hAnsi="宋体" w:eastAsia="宋体" w:cs="宋体"/>
          <w:sz w:val="20"/>
          <w:u w:val="none"/>
        </w:rPr>
        <w:tab/>
        <w:t xml:space="preserve"> 通过年度医疗服务能力提升绩效项目的有效实施，我院基本建立具有中国特色的权责清晰、管理科学、治理完善、运行高效、监督有力的现代医院管理制度，建立维护公益性、调动积极性、保障可持续的运行新机制和科学合理的补偿机制。</w:t>
      </w:r>
    </w:p>
    <w:p w14:paraId="6F95E6A2">
      <w:pPr>
        <w:pStyle w:val="18"/>
      </w:pPr>
      <w:bookmarkStart w:id="17" w:name="_Toc56442943"/>
      <w:bookmarkStart w:id="18" w:name="_Toc20144"/>
      <w:bookmarkStart w:id="19" w:name="_Toc56442885"/>
      <w:r>
        <w:rPr>
          <w:rFonts w:hint="eastAsia"/>
        </w:rPr>
        <w:t>二、</w:t>
      </w:r>
      <w:bookmarkEnd w:id="17"/>
      <w:bookmarkEnd w:id="18"/>
      <w:bookmarkEnd w:id="19"/>
      <w:r>
        <w:rPr>
          <w:rFonts w:hint="eastAsia"/>
        </w:rPr>
        <w:t>总体评价结论和指标分析</w:t>
      </w:r>
    </w:p>
    <w:p w14:paraId="64BDB522">
      <w:pPr>
        <w:pStyle w:val="22"/>
        <w:ind w:left="560"/>
      </w:pPr>
      <w:r>
        <w:rPr>
          <w:rFonts w:hint="eastAsia"/>
        </w:rPr>
        <w:t>（一）总体评价结论</w:t>
      </w:r>
    </w:p>
    <w:p w14:paraId="5CDAC2ED">
      <w:pPr>
        <w:pStyle w:val="13"/>
        <w:ind w:firstLine="560"/>
      </w:pPr>
      <w:r>
        <w:rPr>
          <w:rFonts w:ascii="宋体" w:hAnsi="宋体" w:eastAsia="宋体" w:cs="宋体"/>
          <w:sz w:val="20"/>
          <w:u w:val="none"/>
        </w:rPr>
        <w:t>综合考虑资金管理、产出、效果、满意度等各方面因素，通过数据采集及分析，最终评分结果：2023年公立医院综合改革绩效自评价结果为:总得分85分，属于"良"。</w:t>
      </w:r>
    </w:p>
    <w:p w14:paraId="4F74D550">
      <w:pPr>
        <w:ind w:firstLine="560"/>
      </w:pPr>
    </w:p>
    <w:p w14:paraId="50284863">
      <w:pPr>
        <w:pStyle w:val="22"/>
        <w:ind w:left="560"/>
      </w:pPr>
      <w:bookmarkStart w:id="20" w:name="_Toc56442944"/>
      <w:bookmarkStart w:id="21" w:name="_Toc56442886"/>
      <w:bookmarkStart w:id="22" w:name="_Toc2119"/>
      <w:r>
        <w:rPr>
          <w:rFonts w:hint="eastAsia"/>
        </w:rPr>
        <w:t>（二）指标分析</w:t>
      </w:r>
    </w:p>
    <w:bookmarkEnd w:id="20"/>
    <w:bookmarkEnd w:id="21"/>
    <w:bookmarkEnd w:id="22"/>
    <w:p w14:paraId="346DCE24">
      <w:pPr>
        <w:pStyle w:val="13"/>
        <w:ind w:firstLine="560"/>
      </w:pPr>
      <w:r>
        <w:rPr>
          <w:rFonts w:hint="eastAsia"/>
        </w:rPr>
        <w:t>1.绩效目标完成的指标</w:t>
      </w:r>
    </w:p>
    <w:p w14:paraId="436625FA">
      <w:pPr>
        <w:pStyle w:val="13"/>
        <w:ind w:firstLine="560"/>
        <w:rPr>
          <w:rFonts w:ascii="宋体" w:hAnsi="宋体" w:eastAsia="宋体" w:cs="宋体"/>
          <w:sz w:val="20"/>
          <w:u w:val="none"/>
        </w:rPr>
      </w:pPr>
      <w:r>
        <w:rPr>
          <w:rFonts w:hint="eastAsia" w:ascii="宋体" w:hAnsi="宋体" w:eastAsia="宋体" w:cs="宋体"/>
          <w:sz w:val="20"/>
          <w:u w:val="none"/>
          <w:lang w:eastAsia="zh-CN"/>
        </w:rPr>
        <w:t>（</w:t>
      </w:r>
      <w:r>
        <w:rPr>
          <w:rFonts w:hint="eastAsia" w:ascii="宋体" w:hAnsi="宋体" w:eastAsia="宋体" w:cs="宋体"/>
          <w:sz w:val="20"/>
          <w:u w:val="none"/>
          <w:lang w:val="en-US" w:eastAsia="zh-CN"/>
        </w:rPr>
        <w:t>1</w:t>
      </w:r>
      <w:r>
        <w:rPr>
          <w:rFonts w:hint="eastAsia" w:ascii="宋体" w:hAnsi="宋体" w:eastAsia="宋体" w:cs="宋体"/>
          <w:sz w:val="20"/>
          <w:u w:val="none"/>
          <w:lang w:eastAsia="zh-CN"/>
        </w:rPr>
        <w:t>）</w:t>
      </w:r>
      <w:r>
        <w:rPr>
          <w:rFonts w:ascii="宋体" w:hAnsi="宋体" w:eastAsia="宋体" w:cs="宋体"/>
          <w:sz w:val="20"/>
          <w:u w:val="none"/>
        </w:rPr>
        <w:t>项目目标完成率</w:t>
      </w:r>
      <w:r>
        <w:rPr>
          <w:rFonts w:hint="eastAsia" w:ascii="宋体" w:hAnsi="宋体" w:eastAsia="宋体" w:cs="宋体"/>
          <w:sz w:val="20"/>
          <w:u w:val="none"/>
          <w:lang w:val="en-US" w:eastAsia="zh-CN"/>
        </w:rPr>
        <w:t>100%</w:t>
      </w:r>
      <w:r>
        <w:rPr>
          <w:rFonts w:ascii="宋体" w:hAnsi="宋体" w:eastAsia="宋体" w:cs="宋体"/>
          <w:sz w:val="20"/>
          <w:u w:val="none"/>
        </w:rPr>
        <w:t xml:space="preserve">; </w:t>
      </w:r>
    </w:p>
    <w:p w14:paraId="512C7A99">
      <w:pPr>
        <w:pStyle w:val="13"/>
        <w:ind w:firstLine="560"/>
        <w:rPr>
          <w:rFonts w:ascii="宋体" w:hAnsi="宋体" w:eastAsia="宋体" w:cs="宋体"/>
          <w:sz w:val="20"/>
          <w:u w:val="none"/>
        </w:rPr>
      </w:pPr>
      <w:r>
        <w:rPr>
          <w:rFonts w:hint="eastAsia" w:ascii="宋体" w:hAnsi="宋体" w:eastAsia="宋体" w:cs="宋体"/>
          <w:sz w:val="20"/>
          <w:u w:val="none"/>
          <w:lang w:eastAsia="zh-CN"/>
        </w:rPr>
        <w:t>（</w:t>
      </w:r>
      <w:r>
        <w:rPr>
          <w:rFonts w:hint="eastAsia" w:ascii="宋体" w:hAnsi="宋体" w:eastAsia="宋体" w:cs="宋体"/>
          <w:sz w:val="20"/>
          <w:u w:val="none"/>
          <w:lang w:val="en-US" w:eastAsia="zh-CN"/>
        </w:rPr>
        <w:t>2</w:t>
      </w:r>
      <w:r>
        <w:rPr>
          <w:rFonts w:hint="eastAsia" w:ascii="宋体" w:hAnsi="宋体" w:eastAsia="宋体" w:cs="宋体"/>
          <w:sz w:val="20"/>
          <w:u w:val="none"/>
          <w:lang w:eastAsia="zh-CN"/>
        </w:rPr>
        <w:t>）</w:t>
      </w:r>
      <w:r>
        <w:rPr>
          <w:rFonts w:hint="eastAsia" w:ascii="宋体" w:hAnsi="宋体" w:eastAsia="宋体" w:cs="宋体"/>
          <w:sz w:val="20"/>
          <w:u w:val="none"/>
          <w:lang w:val="en-US" w:eastAsia="zh-CN"/>
        </w:rPr>
        <w:t>该项目资金虽未能拨付到位，但医院仍然根据年前计划高质量的完成该项目</w:t>
      </w:r>
      <w:r>
        <w:rPr>
          <w:rFonts w:ascii="宋体" w:hAnsi="宋体" w:eastAsia="宋体" w:cs="宋体"/>
          <w:sz w:val="20"/>
          <w:u w:val="none"/>
        </w:rPr>
        <w:t xml:space="preserve">; </w:t>
      </w:r>
    </w:p>
    <w:p w14:paraId="5C6FB5D9">
      <w:pPr>
        <w:pStyle w:val="13"/>
        <w:ind w:firstLine="560"/>
        <w:rPr>
          <w:rFonts w:ascii="宋体" w:hAnsi="宋体" w:eastAsia="宋体" w:cs="宋体"/>
          <w:sz w:val="20"/>
          <w:u w:val="none"/>
        </w:rPr>
      </w:pPr>
      <w:r>
        <w:rPr>
          <w:rFonts w:hint="eastAsia" w:ascii="宋体" w:hAnsi="宋体" w:eastAsia="宋体" w:cs="宋体"/>
          <w:sz w:val="20"/>
          <w:u w:val="none"/>
          <w:lang w:eastAsia="zh-CN"/>
        </w:rPr>
        <w:t>（</w:t>
      </w:r>
      <w:r>
        <w:rPr>
          <w:rFonts w:hint="eastAsia" w:ascii="宋体" w:hAnsi="宋体" w:eastAsia="宋体" w:cs="宋体"/>
          <w:sz w:val="20"/>
          <w:u w:val="none"/>
          <w:lang w:val="en-US" w:eastAsia="zh-CN"/>
        </w:rPr>
        <w:t>3</w:t>
      </w:r>
      <w:r>
        <w:rPr>
          <w:rFonts w:hint="eastAsia" w:ascii="宋体" w:hAnsi="宋体" w:eastAsia="宋体" w:cs="宋体"/>
          <w:sz w:val="20"/>
          <w:u w:val="none"/>
          <w:lang w:eastAsia="zh-CN"/>
        </w:rPr>
        <w:t>）</w:t>
      </w:r>
      <w:r>
        <w:rPr>
          <w:rFonts w:hint="eastAsia" w:ascii="宋体" w:hAnsi="宋体" w:eastAsia="宋体" w:cs="宋体"/>
          <w:sz w:val="20"/>
          <w:u w:val="none"/>
          <w:lang w:val="en-US" w:eastAsia="zh-CN"/>
        </w:rPr>
        <w:t>通过更新设备和完成信息化建设，使医院的诊疗水平和诊疗速度有了提升</w:t>
      </w:r>
      <w:r>
        <w:rPr>
          <w:rFonts w:ascii="宋体" w:hAnsi="宋体" w:eastAsia="宋体" w:cs="宋体"/>
          <w:sz w:val="20"/>
          <w:u w:val="none"/>
        </w:rPr>
        <w:t xml:space="preserve">; </w:t>
      </w:r>
    </w:p>
    <w:p w14:paraId="7389FC30">
      <w:pPr>
        <w:pStyle w:val="13"/>
        <w:ind w:firstLine="560"/>
      </w:pPr>
      <w:r>
        <w:rPr>
          <w:rFonts w:hint="eastAsia" w:ascii="宋体" w:hAnsi="宋体" w:eastAsia="宋体" w:cs="宋体"/>
          <w:sz w:val="20"/>
          <w:u w:val="none"/>
          <w:lang w:eastAsia="zh-CN"/>
        </w:rPr>
        <w:t>（</w:t>
      </w:r>
      <w:r>
        <w:rPr>
          <w:rFonts w:hint="eastAsia" w:ascii="宋体" w:hAnsi="宋体" w:eastAsia="宋体" w:cs="宋体"/>
          <w:sz w:val="20"/>
          <w:u w:val="none"/>
          <w:lang w:val="en-US" w:eastAsia="zh-CN"/>
        </w:rPr>
        <w:t>4</w:t>
      </w:r>
      <w:r>
        <w:rPr>
          <w:rFonts w:hint="eastAsia" w:ascii="宋体" w:hAnsi="宋体" w:eastAsia="宋体" w:cs="宋体"/>
          <w:sz w:val="20"/>
          <w:u w:val="none"/>
          <w:lang w:eastAsia="zh-CN"/>
        </w:rPr>
        <w:t>）</w:t>
      </w:r>
      <w:r>
        <w:rPr>
          <w:rFonts w:ascii="宋体" w:hAnsi="宋体" w:eastAsia="宋体" w:cs="宋体"/>
          <w:sz w:val="20"/>
          <w:u w:val="none"/>
        </w:rPr>
        <w:t>服务对象满意率</w:t>
      </w:r>
      <w:r>
        <w:rPr>
          <w:rFonts w:hint="eastAsia" w:ascii="宋体" w:hAnsi="宋体" w:eastAsia="宋体" w:cs="宋体"/>
          <w:sz w:val="20"/>
          <w:u w:val="none"/>
          <w:lang w:val="en-US" w:eastAsia="zh-CN"/>
        </w:rPr>
        <w:t>95%</w:t>
      </w:r>
      <w:bookmarkStart w:id="31" w:name="_GoBack"/>
      <w:bookmarkEnd w:id="31"/>
      <w:r>
        <w:rPr>
          <w:rFonts w:ascii="宋体" w:hAnsi="宋体" w:eastAsia="宋体" w:cs="宋体"/>
          <w:sz w:val="20"/>
          <w:u w:val="none"/>
        </w:rPr>
        <w:t>;</w:t>
      </w:r>
    </w:p>
    <w:p w14:paraId="0F9CB7B9">
      <w:pPr>
        <w:pStyle w:val="13"/>
        <w:ind w:firstLine="560"/>
      </w:pPr>
      <w:r>
        <w:rPr>
          <w:rFonts w:hint="eastAsia"/>
        </w:rPr>
        <w:t>2.没有完成绩效目标的指标</w:t>
      </w:r>
    </w:p>
    <w:p w14:paraId="0A40F878">
      <w:pPr>
        <w:pStyle w:val="13"/>
        <w:ind w:firstLine="560"/>
      </w:pPr>
    </w:p>
    <w:p w14:paraId="7988D946">
      <w:pPr>
        <w:ind w:firstLine="560"/>
      </w:pPr>
    </w:p>
    <w:p w14:paraId="12044FCA">
      <w:pPr>
        <w:pStyle w:val="18"/>
      </w:pPr>
      <w:bookmarkStart w:id="23" w:name="_Toc56442890"/>
      <w:bookmarkStart w:id="24" w:name="_Toc56442948"/>
      <w:bookmarkStart w:id="25" w:name="_Toc20132"/>
      <w:r>
        <w:rPr>
          <w:rFonts w:hint="eastAsia"/>
        </w:rPr>
        <w:t>三、存在的问题和建议</w:t>
      </w:r>
      <w:bookmarkEnd w:id="23"/>
      <w:bookmarkEnd w:id="24"/>
      <w:bookmarkEnd w:id="25"/>
    </w:p>
    <w:p w14:paraId="4A75A783">
      <w:pPr>
        <w:pStyle w:val="22"/>
        <w:ind w:left="560"/>
      </w:pPr>
      <w:bookmarkStart w:id="26" w:name="_Toc56442947"/>
      <w:bookmarkStart w:id="27" w:name="_Toc56442889"/>
      <w:bookmarkStart w:id="28" w:name="_Toc19895"/>
      <w:r>
        <w:rPr>
          <w:rFonts w:hint="eastAsia"/>
        </w:rPr>
        <w:t>（一）存在的问题</w:t>
      </w:r>
      <w:bookmarkEnd w:id="26"/>
      <w:bookmarkEnd w:id="27"/>
      <w:bookmarkEnd w:id="28"/>
    </w:p>
    <w:p w14:paraId="1EA83019">
      <w:pPr>
        <w:pStyle w:val="13"/>
        <w:ind w:firstLine="600" w:firstLineChars="300"/>
      </w:pPr>
      <w:r>
        <w:rPr>
          <w:rFonts w:ascii="宋体" w:hAnsi="宋体" w:eastAsia="宋体" w:cs="宋体"/>
          <w:sz w:val="20"/>
          <w:u w:val="none"/>
        </w:rPr>
        <w:t xml:space="preserve"> 在项目执行的过程中，因资金拨付不到位，存在政策宣传力度不够，宣传范围不广泛，力度不够大的问题，虽然我院开展了精神卫生知识和政策的宣传教育、咨询活动，但医疗服务能力提升的作用不明显。</w:t>
      </w:r>
    </w:p>
    <w:p w14:paraId="3549EAF3">
      <w:pPr>
        <w:pStyle w:val="22"/>
        <w:ind w:left="560"/>
      </w:pPr>
      <w:bookmarkStart w:id="29" w:name="_Toc21644"/>
      <w:r>
        <w:rPr>
          <w:rFonts w:hint="eastAsia"/>
        </w:rPr>
        <w:t>（二）改进建议</w:t>
      </w:r>
      <w:bookmarkEnd w:id="29"/>
    </w:p>
    <w:p w14:paraId="6FC74B22">
      <w:pPr>
        <w:pStyle w:val="13"/>
        <w:ind w:firstLine="562"/>
        <w:rPr>
          <w:b/>
          <w:bCs/>
        </w:rPr>
      </w:pPr>
      <w:r>
        <w:rPr>
          <w:rFonts w:hint="eastAsia"/>
          <w:b/>
          <w:bCs/>
        </w:rPr>
        <w:t>1.对项目决策的建议</w:t>
      </w:r>
    </w:p>
    <w:p w14:paraId="4B9A55E8">
      <w:pPr>
        <w:pStyle w:val="13"/>
        <w:ind w:firstLine="600" w:firstLineChars="300"/>
      </w:pPr>
      <w:r>
        <w:rPr>
          <w:rFonts w:ascii="宋体" w:hAnsi="宋体" w:eastAsia="宋体" w:cs="宋体"/>
          <w:sz w:val="20"/>
          <w:u w:val="none"/>
        </w:rPr>
        <w:t>完善制度，促进项目资金合理安排，科学使用，提高财政资金使用效率，推进基本公共卫生服务的创新机制，加强公共卫生资金管理。</w:t>
      </w:r>
    </w:p>
    <w:p w14:paraId="7ADE772D">
      <w:pPr>
        <w:pStyle w:val="15"/>
        <w:ind w:left="560"/>
      </w:pPr>
      <w:r>
        <w:rPr>
          <w:rFonts w:hint="eastAsia"/>
        </w:rPr>
        <w:t>2.对预算安排及执行情况的建议</w:t>
      </w:r>
    </w:p>
    <w:p w14:paraId="438EE7A4">
      <w:pPr>
        <w:pStyle w:val="13"/>
        <w:ind w:firstLine="142" w:firstLineChars="71"/>
      </w:pPr>
      <w:r>
        <w:rPr>
          <w:rFonts w:ascii="宋体" w:hAnsi="宋体" w:eastAsia="宋体" w:cs="宋体"/>
          <w:sz w:val="20"/>
          <w:u w:val="none"/>
        </w:rPr>
        <w:t xml:space="preserve">     1、规范项目支出预算编制工作，建立科学有效的审核机制和项目立项规则。2、提高项目资金预算执行约束力，规范项目资金使用的程序审批。3、加强对项目资金评审监督和绩效考核，规范考核机制，强化绩效跟踪，细化评价项目，严格绩效问责。</w:t>
      </w:r>
    </w:p>
    <w:p w14:paraId="5C5966CD">
      <w:pPr>
        <w:pStyle w:val="13"/>
        <w:ind w:firstLine="562"/>
        <w:rPr>
          <w:b/>
          <w:bCs/>
        </w:rPr>
      </w:pPr>
      <w:r>
        <w:rPr>
          <w:rFonts w:hint="eastAsia"/>
          <w:b/>
          <w:bCs/>
        </w:rPr>
        <w:t>3.对资金管理的建议</w:t>
      </w:r>
    </w:p>
    <w:p w14:paraId="6CC9B9B6">
      <w:pPr>
        <w:pStyle w:val="13"/>
        <w:ind w:firstLine="560"/>
      </w:pPr>
      <w:r>
        <w:rPr>
          <w:rFonts w:ascii="宋体" w:hAnsi="宋体" w:eastAsia="宋体" w:cs="宋体"/>
          <w:sz w:val="20"/>
          <w:u w:val="none"/>
        </w:rPr>
        <w:t xml:space="preserve">   1、加强部门预算管理，提升项目实施的精准度。2、制订专项资金考评和管控体系，实行全程监管。3、赋予财务人员对专项资金的管理权限，参与到项目实施的全过程。</w:t>
      </w:r>
    </w:p>
    <w:p w14:paraId="11E662E5">
      <w:pPr>
        <w:pStyle w:val="13"/>
        <w:ind w:firstLine="562"/>
        <w:rPr>
          <w:b/>
          <w:bCs/>
        </w:rPr>
      </w:pPr>
      <w:r>
        <w:rPr>
          <w:rFonts w:hint="eastAsia"/>
          <w:b/>
          <w:bCs/>
        </w:rPr>
        <w:t>4.对项目管理的建议</w:t>
      </w:r>
    </w:p>
    <w:p w14:paraId="4E6CB4B2">
      <w:pPr>
        <w:pStyle w:val="13"/>
        <w:ind w:firstLine="742" w:firstLineChars="371"/>
      </w:pPr>
      <w:r>
        <w:rPr>
          <w:rFonts w:ascii="宋体" w:hAnsi="宋体" w:eastAsia="宋体" w:cs="宋体"/>
          <w:sz w:val="20"/>
          <w:u w:val="none"/>
        </w:rPr>
        <w:t>1、加强领导，规范项目资金使用管理制度。2、突出重点，确保项目资金合理使用。3、以人为本，强化医疗人才队伍建设。</w:t>
      </w:r>
    </w:p>
    <w:p w14:paraId="3B5CF1C6">
      <w:pPr>
        <w:pStyle w:val="13"/>
        <w:ind w:firstLine="562"/>
      </w:pPr>
      <w:r>
        <w:rPr>
          <w:rFonts w:hint="eastAsia"/>
          <w:b/>
          <w:bCs/>
        </w:rPr>
        <w:t>5.其他建议</w:t>
      </w:r>
      <w:r>
        <w:rPr>
          <w:rFonts w:hint="eastAsia"/>
        </w:rPr>
        <w:tab/>
      </w:r>
    </w:p>
    <w:p w14:paraId="77B3FBFD">
      <w:pPr>
        <w:ind w:firstLine="1161" w:firstLineChars="413"/>
        <w:rPr>
          <w:rFonts w:ascii="宋体" w:hAnsi="宋体" w:eastAsia="宋体"/>
          <w:b/>
          <w:bCs/>
        </w:rPr>
      </w:pPr>
    </w:p>
    <w:p w14:paraId="4ED7088E">
      <w:pPr>
        <w:pStyle w:val="22"/>
        <w:ind w:left="0" w:leftChars="0"/>
      </w:pPr>
      <w:r>
        <w:br w:type="page"/>
      </w:r>
      <w:bookmarkStart w:id="30" w:name="_Toc12241"/>
      <w:r>
        <w:rPr>
          <w:rFonts w:eastAsia="仿宋"/>
        </w:rPr>
        <w:t xml:space="preserve">附表1 </w:t>
      </w:r>
      <w:r>
        <w:rPr>
          <w:rFonts w:hint="eastAsia" w:eastAsia="仿宋"/>
        </w:rPr>
        <w:t>自评价</w:t>
      </w:r>
      <w:r>
        <w:rPr>
          <w:rFonts w:eastAsia="仿宋"/>
        </w:rPr>
        <w:t>评分表</w:t>
      </w:r>
      <w:bookmarkEnd w:id="30"/>
    </w:p>
    <w:tbl>
      <w:tblPr>
        <w:tblStyle w:val="8"/>
        <w:tblW w:w="9072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1114"/>
        <w:gridCol w:w="1015"/>
        <w:gridCol w:w="1130"/>
        <w:gridCol w:w="1130"/>
        <w:gridCol w:w="732"/>
        <w:gridCol w:w="732"/>
        <w:gridCol w:w="1795"/>
        <w:gridCol w:w="32"/>
      </w:tblGrid>
      <w:tr w14:paraId="252103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7" w:type="dxa"/>
            <w:gridSpan w:val="9"/>
            <w:shd w:val="clear" w:color="auto" w:fill="BFBFBF"/>
          </w:tcPr>
          <w:p w14:paraId="2A6FFBF1">
            <w:pPr>
              <w:spacing w:line="240" w:lineRule="atLeast"/>
              <w:ind w:firstLine="0" w:firstLineChars="0"/>
              <w:jc w:val="center"/>
              <w:rPr>
                <w:rFonts w:ascii="黑体" w:hAnsi="黑体" w:eastAsia="黑体" w:cs="Arial"/>
                <w:b/>
                <w:bCs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自评价评分附件表</w:t>
            </w:r>
          </w:p>
        </w:tc>
      </w:tr>
      <w:tr w14:paraId="15C4C3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trHeight w:val="500" w:hRule="atLeast"/>
        </w:trPr>
        <w:tc>
          <w:tcPr>
            <w:tcW w:w="5000" w:type="dxa"/>
            <w:vMerge w:val="restart"/>
          </w:tcPr>
          <w:p w14:paraId="490BA02F">
            <w:pPr>
              <w:ind w:firstLine="0"/>
            </w:pPr>
            <w:r>
              <w:rPr>
                <w:sz w:val="20"/>
              </w:rPr>
              <w:t>一级指标</w:t>
            </w:r>
          </w:p>
        </w:tc>
        <w:tc>
          <w:tcPr>
            <w:tcW w:w="5000" w:type="dxa"/>
            <w:vMerge w:val="restart"/>
          </w:tcPr>
          <w:p w14:paraId="3305C79E">
            <w:pPr>
              <w:ind w:firstLine="0"/>
            </w:pPr>
            <w:r>
              <w:rPr>
                <w:sz w:val="20"/>
              </w:rPr>
              <w:t>二级指标</w:t>
            </w:r>
          </w:p>
        </w:tc>
        <w:tc>
          <w:tcPr>
            <w:tcW w:w="5000" w:type="dxa"/>
          </w:tcPr>
          <w:p w14:paraId="068F7532">
            <w:pPr>
              <w:ind w:firstLine="0"/>
            </w:pPr>
            <w:r>
              <w:rPr>
                <w:sz w:val="20"/>
              </w:rPr>
              <w:t>三级指标</w:t>
            </w:r>
          </w:p>
        </w:tc>
        <w:tc>
          <w:tcPr>
            <w:tcW w:w="5000" w:type="dxa"/>
          </w:tcPr>
          <w:p w14:paraId="08A9681A">
            <w:pPr>
              <w:ind w:firstLine="0"/>
            </w:pPr>
            <w:r>
              <w:rPr>
                <w:sz w:val="20"/>
              </w:rPr>
              <w:t>年度目标值</w:t>
            </w:r>
          </w:p>
        </w:tc>
        <w:tc>
          <w:tcPr>
            <w:tcW w:w="5000" w:type="dxa"/>
          </w:tcPr>
          <w:p w14:paraId="5976BD66">
            <w:pPr>
              <w:ind w:firstLine="0"/>
            </w:pPr>
            <w:r>
              <w:rPr>
                <w:sz w:val="20"/>
              </w:rPr>
              <w:t>实际完成值</w:t>
            </w:r>
          </w:p>
        </w:tc>
        <w:tc>
          <w:tcPr>
            <w:tcW w:w="5000" w:type="dxa"/>
          </w:tcPr>
          <w:p w14:paraId="03DC939B">
            <w:pPr>
              <w:ind w:firstLine="0"/>
            </w:pPr>
            <w:r>
              <w:rPr>
                <w:sz w:val="20"/>
              </w:rPr>
              <w:t>分值</w:t>
            </w:r>
          </w:p>
        </w:tc>
        <w:tc>
          <w:tcPr>
            <w:tcW w:w="5000" w:type="dxa"/>
          </w:tcPr>
          <w:p w14:paraId="094ECE35">
            <w:pPr>
              <w:ind w:firstLine="0"/>
            </w:pPr>
            <w:r>
              <w:rPr>
                <w:sz w:val="20"/>
              </w:rPr>
              <w:t>得分</w:t>
            </w:r>
          </w:p>
        </w:tc>
        <w:tc>
          <w:tcPr>
            <w:tcW w:w="5000" w:type="dxa"/>
          </w:tcPr>
          <w:p w14:paraId="5478F231">
            <w:pPr>
              <w:ind w:firstLine="0"/>
            </w:pPr>
            <w:r>
              <w:rPr>
                <w:sz w:val="20"/>
              </w:rPr>
              <w:t>偏差原因分析</w:t>
            </w:r>
          </w:p>
        </w:tc>
      </w:tr>
      <w:tr w14:paraId="22D113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trHeight w:val="500" w:hRule="atLeast"/>
        </w:trPr>
        <w:tc>
          <w:tcPr>
            <w:tcW w:w="5000" w:type="dxa"/>
            <w:vMerge w:val="restart"/>
          </w:tcPr>
          <w:p w14:paraId="600497F1">
            <w:pPr>
              <w:ind w:firstLine="0"/>
            </w:pPr>
            <w:r>
              <w:rPr>
                <w:sz w:val="20"/>
              </w:rPr>
              <w:t>产出指标</w:t>
            </w:r>
          </w:p>
        </w:tc>
        <w:tc>
          <w:tcPr>
            <w:tcW w:w="5000" w:type="dxa"/>
            <w:vMerge w:val="restart"/>
          </w:tcPr>
          <w:p w14:paraId="5BA0396B">
            <w:pPr>
              <w:ind w:firstLine="0"/>
            </w:pPr>
            <w:r>
              <w:rPr>
                <w:sz w:val="20"/>
              </w:rPr>
              <w:t>数量指标</w:t>
            </w:r>
          </w:p>
        </w:tc>
        <w:tc>
          <w:tcPr>
            <w:tcW w:w="5000" w:type="dxa"/>
          </w:tcPr>
          <w:p w14:paraId="1E045657">
            <w:pPr>
              <w:ind w:firstLine="0"/>
            </w:pPr>
            <w:r>
              <w:rPr>
                <w:sz w:val="20"/>
              </w:rPr>
              <w:t>项目目标完成率</w:t>
            </w:r>
          </w:p>
        </w:tc>
        <w:tc>
          <w:tcPr>
            <w:tcW w:w="5000" w:type="dxa"/>
          </w:tcPr>
          <w:p w14:paraId="5B9AA902">
            <w:pPr>
              <w:ind w:firstLine="0"/>
            </w:pPr>
            <w:r>
              <w:rPr>
                <w:sz w:val="20"/>
              </w:rPr>
              <w:t>=100%</w:t>
            </w:r>
          </w:p>
        </w:tc>
        <w:tc>
          <w:tcPr>
            <w:tcW w:w="5000" w:type="dxa"/>
          </w:tcPr>
          <w:p w14:paraId="66C61661">
            <w:pPr>
              <w:ind w:firstLine="0"/>
            </w:pPr>
            <w:r>
              <w:rPr>
                <w:sz w:val="20"/>
              </w:rPr>
              <w:t>100%</w:t>
            </w:r>
          </w:p>
        </w:tc>
        <w:tc>
          <w:tcPr>
            <w:tcW w:w="5000" w:type="dxa"/>
          </w:tcPr>
          <w:p w14:paraId="18A6864E">
            <w:pPr>
              <w:ind w:firstLine="0"/>
            </w:pPr>
            <w:r>
              <w:rPr>
                <w:sz w:val="20"/>
              </w:rPr>
              <w:t>20</w:t>
            </w:r>
          </w:p>
        </w:tc>
        <w:tc>
          <w:tcPr>
            <w:tcW w:w="5000" w:type="dxa"/>
          </w:tcPr>
          <w:p w14:paraId="2190E2DC">
            <w:pPr>
              <w:ind w:firstLine="0"/>
            </w:pPr>
            <w:r>
              <w:rPr>
                <w:sz w:val="20"/>
              </w:rPr>
              <w:t>20</w:t>
            </w:r>
          </w:p>
        </w:tc>
        <w:tc>
          <w:tcPr>
            <w:tcW w:w="5000" w:type="dxa"/>
          </w:tcPr>
          <w:p w14:paraId="3C8E40A7">
            <w:pPr>
              <w:ind w:firstLine="0"/>
            </w:pPr>
          </w:p>
        </w:tc>
      </w:tr>
      <w:tr w14:paraId="41B99B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trHeight w:val="500" w:hRule="atLeast"/>
        </w:trPr>
        <w:tc>
          <w:tcPr>
            <w:tcW w:w="5000" w:type="dxa"/>
            <w:vMerge w:val="continue"/>
          </w:tcPr>
          <w:p w14:paraId="494B2D95">
            <w:pPr>
              <w:ind w:firstLine="0"/>
            </w:pPr>
            <w:r>
              <w:rPr>
                <w:sz w:val="20"/>
              </w:rPr>
              <w:t>产出指标</w:t>
            </w:r>
          </w:p>
        </w:tc>
        <w:tc>
          <w:tcPr>
            <w:tcW w:w="5000" w:type="dxa"/>
            <w:vMerge w:val="restart"/>
          </w:tcPr>
          <w:p w14:paraId="3CD6779A">
            <w:pPr>
              <w:ind w:firstLine="0"/>
            </w:pPr>
            <w:r>
              <w:rPr>
                <w:sz w:val="20"/>
              </w:rPr>
              <w:t>质量指标</w:t>
            </w:r>
          </w:p>
        </w:tc>
        <w:tc>
          <w:tcPr>
            <w:tcW w:w="5000" w:type="dxa"/>
          </w:tcPr>
          <w:p w14:paraId="1EDA3517">
            <w:pPr>
              <w:ind w:firstLine="0"/>
            </w:pPr>
            <w:r>
              <w:rPr>
                <w:sz w:val="20"/>
              </w:rPr>
              <w:t>项目质量结果评价</w:t>
            </w:r>
          </w:p>
        </w:tc>
        <w:tc>
          <w:tcPr>
            <w:tcW w:w="5000" w:type="dxa"/>
          </w:tcPr>
          <w:p w14:paraId="2116CEB1">
            <w:pPr>
              <w:ind w:firstLine="0"/>
            </w:pPr>
            <w:r>
              <w:rPr>
                <w:sz w:val="20"/>
              </w:rPr>
              <w:t>高</w:t>
            </w:r>
          </w:p>
        </w:tc>
        <w:tc>
          <w:tcPr>
            <w:tcW w:w="5000" w:type="dxa"/>
          </w:tcPr>
          <w:p w14:paraId="1107C565">
            <w:pPr>
              <w:ind w:firstLine="0"/>
            </w:pPr>
            <w:r>
              <w:rPr>
                <w:sz w:val="20"/>
              </w:rPr>
              <w:t>100%</w:t>
            </w:r>
          </w:p>
        </w:tc>
        <w:tc>
          <w:tcPr>
            <w:tcW w:w="5000" w:type="dxa"/>
          </w:tcPr>
          <w:p w14:paraId="64F80431">
            <w:pPr>
              <w:ind w:firstLine="0"/>
            </w:pPr>
            <w:r>
              <w:rPr>
                <w:sz w:val="20"/>
              </w:rPr>
              <w:t>20</w:t>
            </w:r>
          </w:p>
        </w:tc>
        <w:tc>
          <w:tcPr>
            <w:tcW w:w="5000" w:type="dxa"/>
          </w:tcPr>
          <w:p w14:paraId="077DFB7F">
            <w:pPr>
              <w:ind w:firstLine="0"/>
            </w:pPr>
            <w:r>
              <w:rPr>
                <w:sz w:val="20"/>
              </w:rPr>
              <w:t>20</w:t>
            </w:r>
          </w:p>
        </w:tc>
        <w:tc>
          <w:tcPr>
            <w:tcW w:w="5000" w:type="dxa"/>
          </w:tcPr>
          <w:p w14:paraId="5E185032">
            <w:pPr>
              <w:ind w:firstLine="0"/>
            </w:pPr>
          </w:p>
        </w:tc>
      </w:tr>
      <w:tr w14:paraId="5C16E6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trHeight w:val="500" w:hRule="atLeast"/>
        </w:trPr>
        <w:tc>
          <w:tcPr>
            <w:tcW w:w="5000" w:type="dxa"/>
            <w:vMerge w:val="restart"/>
          </w:tcPr>
          <w:p w14:paraId="308C72D1">
            <w:pPr>
              <w:ind w:firstLine="0"/>
            </w:pPr>
            <w:r>
              <w:rPr>
                <w:sz w:val="20"/>
              </w:rPr>
              <w:t>效益指标</w:t>
            </w:r>
          </w:p>
        </w:tc>
        <w:tc>
          <w:tcPr>
            <w:tcW w:w="5000" w:type="dxa"/>
            <w:vMerge w:val="restart"/>
          </w:tcPr>
          <w:p w14:paraId="5265BEC8">
            <w:pPr>
              <w:ind w:firstLine="0"/>
            </w:pPr>
            <w:r>
              <w:rPr>
                <w:sz w:val="20"/>
              </w:rPr>
              <w:t>经济效益指标</w:t>
            </w:r>
          </w:p>
        </w:tc>
        <w:tc>
          <w:tcPr>
            <w:tcW w:w="5000" w:type="dxa"/>
          </w:tcPr>
          <w:p w14:paraId="796B3479">
            <w:pPr>
              <w:ind w:firstLine="0"/>
            </w:pPr>
            <w:r>
              <w:rPr>
                <w:sz w:val="20"/>
              </w:rPr>
              <w:t>经济效益</w:t>
            </w:r>
          </w:p>
        </w:tc>
        <w:tc>
          <w:tcPr>
            <w:tcW w:w="5000" w:type="dxa"/>
          </w:tcPr>
          <w:p w14:paraId="1CAAAF7C">
            <w:pPr>
              <w:ind w:firstLine="0"/>
            </w:pPr>
            <w:r>
              <w:rPr>
                <w:sz w:val="20"/>
              </w:rPr>
              <w:t>高</w:t>
            </w:r>
          </w:p>
        </w:tc>
        <w:tc>
          <w:tcPr>
            <w:tcW w:w="5000" w:type="dxa"/>
          </w:tcPr>
          <w:p w14:paraId="479CDD1D">
            <w:pPr>
              <w:ind w:firstLine="0"/>
            </w:pPr>
            <w:r>
              <w:rPr>
                <w:sz w:val="20"/>
              </w:rPr>
              <w:t>100%</w:t>
            </w:r>
          </w:p>
        </w:tc>
        <w:tc>
          <w:tcPr>
            <w:tcW w:w="5000" w:type="dxa"/>
          </w:tcPr>
          <w:p w14:paraId="2E7EA788">
            <w:pPr>
              <w:ind w:firstLine="0"/>
            </w:pPr>
            <w:r>
              <w:rPr>
                <w:sz w:val="20"/>
              </w:rPr>
              <w:t>25</w:t>
            </w:r>
          </w:p>
        </w:tc>
        <w:tc>
          <w:tcPr>
            <w:tcW w:w="5000" w:type="dxa"/>
          </w:tcPr>
          <w:p w14:paraId="34197B5B">
            <w:pPr>
              <w:ind w:firstLine="0"/>
            </w:pPr>
            <w:r>
              <w:rPr>
                <w:sz w:val="20"/>
              </w:rPr>
              <w:t>25</w:t>
            </w:r>
          </w:p>
        </w:tc>
        <w:tc>
          <w:tcPr>
            <w:tcW w:w="5000" w:type="dxa"/>
          </w:tcPr>
          <w:p w14:paraId="0CE7EFE8">
            <w:pPr>
              <w:ind w:firstLine="0"/>
            </w:pPr>
          </w:p>
        </w:tc>
      </w:tr>
      <w:tr w14:paraId="6DB70E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" w:type="dxa"/>
          <w:trHeight w:val="500" w:hRule="atLeast"/>
        </w:trPr>
        <w:tc>
          <w:tcPr>
            <w:tcW w:w="5000" w:type="dxa"/>
          </w:tcPr>
          <w:p w14:paraId="21CE09D1">
            <w:pPr>
              <w:pStyle w:val="13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满意度指标</w:t>
            </w:r>
          </w:p>
        </w:tc>
        <w:tc>
          <w:tcPr>
            <w:tcW w:w="5000" w:type="dxa"/>
          </w:tcPr>
          <w:p w14:paraId="785B4AEC">
            <w:pPr>
              <w:pStyle w:val="13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服务对象满意度指标</w:t>
            </w:r>
          </w:p>
        </w:tc>
        <w:tc>
          <w:tcPr>
            <w:tcW w:w="5000" w:type="dxa"/>
          </w:tcPr>
          <w:p w14:paraId="6156422F">
            <w:pPr>
              <w:pStyle w:val="13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服务对象满意率</w:t>
            </w:r>
          </w:p>
        </w:tc>
        <w:tc>
          <w:tcPr>
            <w:tcW w:w="5000" w:type="dxa"/>
          </w:tcPr>
          <w:p w14:paraId="4535E80E">
            <w:pPr>
              <w:pStyle w:val="13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≥85%</w:t>
            </w:r>
          </w:p>
        </w:tc>
        <w:tc>
          <w:tcPr>
            <w:tcW w:w="5000" w:type="dxa"/>
          </w:tcPr>
          <w:p w14:paraId="401438E7">
            <w:pPr>
              <w:pStyle w:val="13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95%</w:t>
            </w:r>
          </w:p>
        </w:tc>
        <w:tc>
          <w:tcPr>
            <w:tcW w:w="5000" w:type="dxa"/>
          </w:tcPr>
          <w:p w14:paraId="62D7CB42">
            <w:pPr>
              <w:pStyle w:val="13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5000" w:type="dxa"/>
          </w:tcPr>
          <w:p w14:paraId="0B9D9EE9">
            <w:pPr>
              <w:pStyle w:val="13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5000" w:type="dxa"/>
          </w:tcPr>
          <w:p w14:paraId="38E614C1">
            <w:pPr>
              <w:pStyle w:val="13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</w:p>
        </w:tc>
      </w:tr>
    </w:tbl>
    <w:p w14:paraId="22A97FF1">
      <w:pPr>
        <w:ind w:firstLine="0" w:firstLineChars="0"/>
      </w:pPr>
    </w:p>
    <w:p w14:paraId="3E21DA2E">
      <w:pPr>
        <w:pStyle w:val="13"/>
        <w:ind w:firstLine="198" w:firstLineChars="71"/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81" w:charSpace="0"/>
        </w:sectPr>
      </w:pPr>
    </w:p>
    <w:p w14:paraId="5AA3C8CB">
      <w:pPr>
        <w:pStyle w:val="7"/>
        <w:ind w:firstLine="0" w:firstLineChars="0"/>
        <w:jc w:val="both"/>
      </w:pPr>
    </w:p>
    <w:p w14:paraId="494E1E6C">
      <w:pPr>
        <w:ind w:firstLine="560"/>
      </w:pPr>
    </w:p>
    <w:sectPr>
      <w:headerReference r:id="rId13" w:type="first"/>
      <w:footerReference r:id="rId16" w:type="first"/>
      <w:headerReference r:id="rId11" w:type="default"/>
      <w:footerReference r:id="rId14" w:type="default"/>
      <w:headerReference r:id="rId12" w:type="even"/>
      <w:footerReference r:id="rId1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560"/>
      </w:pPr>
      <w:r>
        <w:separator/>
      </w:r>
    </w:p>
  </w:endnote>
  <w:endnote w:type="continuationSeparator" w:id="1">
    <w:p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D4B310">
    <w:pPr>
      <w:pStyle w:val="5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5</w:t>
    </w:r>
    <w:r>
      <w:fldChar w:fldCharType="end"/>
    </w:r>
  </w:p>
  <w:p w14:paraId="74E6473F">
    <w:pPr>
      <w:pStyle w:val="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25D182">
    <w:pPr>
      <w:pStyle w:val="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B4BCC6">
    <w:pPr>
      <w:pStyle w:val="5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C59BEA">
    <w:pPr>
      <w:pStyle w:val="5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6</w:t>
    </w:r>
    <w:r>
      <w:fldChar w:fldCharType="end"/>
    </w:r>
  </w:p>
  <w:p w14:paraId="1CFB38CD">
    <w:pPr>
      <w:pStyle w:val="5"/>
      <w:ind w:firstLine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A63DDA">
    <w:pPr>
      <w:pStyle w:val="5"/>
      <w:ind w:firstLine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8BF0A4">
    <w:pPr>
      <w:pStyle w:val="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560"/>
      </w:pPr>
      <w:r>
        <w:separator/>
      </w:r>
    </w:p>
  </w:footnote>
  <w:footnote w:type="continuationSeparator" w:id="1">
    <w:p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CCE140">
    <w:pPr>
      <w:pStyle w:val="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5AF8D3">
    <w:pPr>
      <w:pStyle w:val="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97A046">
    <w:pPr>
      <w:pStyle w:val="6"/>
      <w:ind w:firstLine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99CA25">
    <w:pPr>
      <w:pStyle w:val="6"/>
      <w:ind w:firstLine="36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624E87">
    <w:pPr>
      <w:pStyle w:val="6"/>
      <w:ind w:firstLine="360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D762C8">
    <w:pPr>
      <w:pStyle w:val="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UyODczZGQ5YjA2Yjc0YTg4NjczZmJmNjllZDRiNjMifQ=="/>
  </w:docVars>
  <w:rsids>
    <w:rsidRoot w:val="00F162A0"/>
    <w:rsid w:val="00011C36"/>
    <w:rsid w:val="00016B5D"/>
    <w:rsid w:val="00052489"/>
    <w:rsid w:val="000940E9"/>
    <w:rsid w:val="000A7ADC"/>
    <w:rsid w:val="000D6D1C"/>
    <w:rsid w:val="000D6D59"/>
    <w:rsid w:val="00110E19"/>
    <w:rsid w:val="00152912"/>
    <w:rsid w:val="00193827"/>
    <w:rsid w:val="001F5E08"/>
    <w:rsid w:val="00236E9B"/>
    <w:rsid w:val="00281552"/>
    <w:rsid w:val="00327F83"/>
    <w:rsid w:val="003735F8"/>
    <w:rsid w:val="003B7F69"/>
    <w:rsid w:val="003D2071"/>
    <w:rsid w:val="004407E1"/>
    <w:rsid w:val="0048074D"/>
    <w:rsid w:val="004C04F3"/>
    <w:rsid w:val="004C19F5"/>
    <w:rsid w:val="00537773"/>
    <w:rsid w:val="006006D8"/>
    <w:rsid w:val="006417C1"/>
    <w:rsid w:val="00660FA0"/>
    <w:rsid w:val="0070424C"/>
    <w:rsid w:val="00724007"/>
    <w:rsid w:val="00732296"/>
    <w:rsid w:val="00743658"/>
    <w:rsid w:val="007C4E52"/>
    <w:rsid w:val="008A7395"/>
    <w:rsid w:val="008B6A0E"/>
    <w:rsid w:val="008E6B47"/>
    <w:rsid w:val="00933BF3"/>
    <w:rsid w:val="00971B9D"/>
    <w:rsid w:val="00992960"/>
    <w:rsid w:val="009B04B2"/>
    <w:rsid w:val="009B5A0B"/>
    <w:rsid w:val="00A70744"/>
    <w:rsid w:val="00B24F65"/>
    <w:rsid w:val="00B8339A"/>
    <w:rsid w:val="00B8498F"/>
    <w:rsid w:val="00BA6156"/>
    <w:rsid w:val="00BC0F32"/>
    <w:rsid w:val="00C04C23"/>
    <w:rsid w:val="00C47CBC"/>
    <w:rsid w:val="00C61059"/>
    <w:rsid w:val="00C73CC1"/>
    <w:rsid w:val="00D118FE"/>
    <w:rsid w:val="00DA2682"/>
    <w:rsid w:val="00DB7226"/>
    <w:rsid w:val="00E21CBA"/>
    <w:rsid w:val="00E65930"/>
    <w:rsid w:val="00E671D8"/>
    <w:rsid w:val="00F12F3A"/>
    <w:rsid w:val="00F162A0"/>
    <w:rsid w:val="00F212D0"/>
    <w:rsid w:val="00F24EEA"/>
    <w:rsid w:val="00F701C2"/>
    <w:rsid w:val="00FC14E3"/>
    <w:rsid w:val="00FC1F69"/>
    <w:rsid w:val="00FE0C1A"/>
    <w:rsid w:val="00FF2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600" w:firstLineChars="200"/>
      <w:jc w:val="both"/>
    </w:pPr>
    <w:rPr>
      <w:rFonts w:ascii="Calibri" w:hAnsi="Calibri" w:eastAsia="仿宋_GB2312" w:cs="黑体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7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6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ind w:firstLine="0" w:firstLineChars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Title"/>
    <w:basedOn w:val="1"/>
    <w:next w:val="1"/>
    <w:link w:val="19"/>
    <w:qFormat/>
    <w:uiPriority w:val="10"/>
    <w:pPr>
      <w:spacing w:before="240" w:after="60"/>
      <w:jc w:val="center"/>
      <w:outlineLvl w:val="0"/>
    </w:pPr>
    <w:rPr>
      <w:rFonts w:ascii="Cambria" w:hAnsi="Cambria" w:eastAsiaTheme="minorEastAsia" w:cstheme="minorBidi"/>
      <w:b/>
      <w:bCs/>
      <w:sz w:val="32"/>
      <w:szCs w:val="32"/>
    </w:rPr>
  </w:style>
  <w:style w:type="character" w:customStyle="1" w:styleId="10">
    <w:name w:val="页眉 Char1"/>
    <w:basedOn w:val="9"/>
    <w:link w:val="6"/>
    <w:uiPriority w:val="99"/>
    <w:rPr>
      <w:sz w:val="18"/>
      <w:szCs w:val="18"/>
    </w:rPr>
  </w:style>
  <w:style w:type="character" w:customStyle="1" w:styleId="11">
    <w:name w:val="页脚 Char1"/>
    <w:basedOn w:val="9"/>
    <w:link w:val="5"/>
    <w:uiPriority w:val="99"/>
    <w:rPr>
      <w:sz w:val="18"/>
      <w:szCs w:val="18"/>
    </w:rPr>
  </w:style>
  <w:style w:type="character" w:customStyle="1" w:styleId="12">
    <w:name w:val="闻政-正文段落文字 Char"/>
    <w:link w:val="13"/>
    <w:qFormat/>
    <w:uiPriority w:val="3"/>
    <w:rPr>
      <w:rFonts w:ascii="Times New Roman" w:hAnsi="Times New Roman" w:eastAsia="仿宋_GB2312"/>
      <w:sz w:val="28"/>
      <w:szCs w:val="28"/>
    </w:rPr>
  </w:style>
  <w:style w:type="paragraph" w:customStyle="1" w:styleId="13">
    <w:name w:val="闻政-正文段落文字"/>
    <w:basedOn w:val="1"/>
    <w:link w:val="12"/>
    <w:qFormat/>
    <w:uiPriority w:val="3"/>
    <w:pPr>
      <w:spacing w:line="500" w:lineRule="exact"/>
      <w:ind w:firstLine="200"/>
    </w:pPr>
    <w:rPr>
      <w:rFonts w:ascii="Times New Roman" w:hAnsi="Times New Roman" w:cstheme="minorBidi"/>
      <w:szCs w:val="28"/>
    </w:rPr>
  </w:style>
  <w:style w:type="character" w:customStyle="1" w:styleId="14">
    <w:name w:val="闻政-正文三级标题 Char"/>
    <w:link w:val="15"/>
    <w:uiPriority w:val="3"/>
    <w:rPr>
      <w:rFonts w:ascii="Times New Roman" w:hAnsi="Times New Roman" w:eastAsia="仿宋_GB2312"/>
      <w:b/>
      <w:snapToGrid w:val="0"/>
      <w:sz w:val="28"/>
      <w:szCs w:val="28"/>
    </w:rPr>
  </w:style>
  <w:style w:type="paragraph" w:customStyle="1" w:styleId="15">
    <w:name w:val="闻政-正文三级标题"/>
    <w:basedOn w:val="1"/>
    <w:next w:val="13"/>
    <w:link w:val="14"/>
    <w:qFormat/>
    <w:uiPriority w:val="3"/>
    <w:pPr>
      <w:widowControl/>
      <w:spacing w:before="120" w:after="60" w:line="500" w:lineRule="exact"/>
      <w:ind w:left="200" w:leftChars="200" w:firstLine="0" w:firstLineChars="0"/>
    </w:pPr>
    <w:rPr>
      <w:rFonts w:ascii="Times New Roman" w:hAnsi="Times New Roman" w:cstheme="minorBidi"/>
      <w:b/>
      <w:snapToGrid w:val="0"/>
      <w:szCs w:val="28"/>
    </w:rPr>
  </w:style>
  <w:style w:type="character" w:customStyle="1" w:styleId="16">
    <w:name w:val="页脚 Char"/>
    <w:uiPriority w:val="99"/>
    <w:rPr>
      <w:rFonts w:eastAsia="仿宋_GB2312" w:cs="黑体"/>
      <w:sz w:val="18"/>
      <w:szCs w:val="18"/>
    </w:rPr>
  </w:style>
  <w:style w:type="character" w:customStyle="1" w:styleId="17">
    <w:name w:val="闻政-正文一级标题 Char"/>
    <w:link w:val="18"/>
    <w:uiPriority w:val="3"/>
    <w:rPr>
      <w:rFonts w:ascii="黑体" w:hAnsi="黑体" w:eastAsia="黑体"/>
      <w:bCs/>
      <w:sz w:val="32"/>
      <w:szCs w:val="32"/>
    </w:rPr>
  </w:style>
  <w:style w:type="paragraph" w:customStyle="1" w:styleId="18">
    <w:name w:val="闻政-正文一级标题"/>
    <w:basedOn w:val="4"/>
    <w:next w:val="13"/>
    <w:link w:val="17"/>
    <w:qFormat/>
    <w:uiPriority w:val="3"/>
    <w:pPr>
      <w:spacing w:before="120" w:after="60" w:line="500" w:lineRule="exact"/>
      <w:ind w:firstLine="0" w:firstLineChars="0"/>
      <w:jc w:val="left"/>
      <w:outlineLvl w:val="0"/>
    </w:pPr>
    <w:rPr>
      <w:rFonts w:ascii="黑体" w:hAnsi="黑体" w:eastAsia="黑体" w:cstheme="minorBidi"/>
      <w:b w:val="0"/>
    </w:rPr>
  </w:style>
  <w:style w:type="character" w:customStyle="1" w:styleId="19">
    <w:name w:val="标题 Char"/>
    <w:link w:val="7"/>
    <w:uiPriority w:val="10"/>
    <w:rPr>
      <w:rFonts w:ascii="Cambria" w:hAnsi="Cambria"/>
      <w:b/>
      <w:bCs/>
      <w:sz w:val="32"/>
      <w:szCs w:val="32"/>
    </w:rPr>
  </w:style>
  <w:style w:type="character" w:customStyle="1" w:styleId="20">
    <w:name w:val="页眉 Char"/>
    <w:uiPriority w:val="99"/>
    <w:rPr>
      <w:rFonts w:eastAsia="仿宋_GB2312" w:cs="黑体"/>
      <w:sz w:val="18"/>
      <w:szCs w:val="18"/>
    </w:rPr>
  </w:style>
  <w:style w:type="character" w:customStyle="1" w:styleId="21">
    <w:name w:val="闻政-正文二级标题 Char"/>
    <w:link w:val="22"/>
    <w:uiPriority w:val="3"/>
    <w:rPr>
      <w:rFonts w:ascii="Times New Roman" w:hAnsi="Times New Roman" w:eastAsia="仿宋_GB2312"/>
      <w:b/>
      <w:bCs/>
      <w:sz w:val="28"/>
      <w:szCs w:val="32"/>
    </w:rPr>
  </w:style>
  <w:style w:type="paragraph" w:customStyle="1" w:styleId="22">
    <w:name w:val="闻政-正文二级标题"/>
    <w:basedOn w:val="3"/>
    <w:next w:val="13"/>
    <w:link w:val="21"/>
    <w:qFormat/>
    <w:uiPriority w:val="3"/>
    <w:pPr>
      <w:spacing w:before="120" w:after="60" w:line="500" w:lineRule="exact"/>
      <w:ind w:left="200" w:leftChars="200" w:firstLine="0" w:firstLineChars="0"/>
      <w:jc w:val="left"/>
    </w:pPr>
    <w:rPr>
      <w:rFonts w:ascii="Times New Roman" w:hAnsi="Times New Roman" w:eastAsia="仿宋_GB2312" w:cstheme="minorBidi"/>
      <w:sz w:val="28"/>
    </w:rPr>
  </w:style>
  <w:style w:type="character" w:customStyle="1" w:styleId="23">
    <w:name w:val="标题 1 Char"/>
    <w:basedOn w:val="9"/>
    <w:link w:val="2"/>
    <w:uiPriority w:val="9"/>
    <w:rPr>
      <w:rFonts w:ascii="Calibri" w:hAnsi="Calibri" w:eastAsia="仿宋_GB2312" w:cs="黑体"/>
      <w:b/>
      <w:bCs/>
      <w:kern w:val="44"/>
      <w:sz w:val="44"/>
      <w:szCs w:val="44"/>
    </w:rPr>
  </w:style>
  <w:style w:type="paragraph" w:customStyle="1" w:styleId="24">
    <w:name w:val="TOC Heading"/>
    <w:basedOn w:val="2"/>
    <w:next w:val="1"/>
    <w:qFormat/>
    <w:uiPriority w:val="39"/>
    <w:pPr>
      <w:widowControl/>
      <w:spacing w:before="480" w:after="0" w:line="276" w:lineRule="auto"/>
      <w:ind w:firstLine="0" w:firstLineChars="0"/>
      <w:jc w:val="left"/>
      <w:outlineLvl w:val="9"/>
    </w:pPr>
    <w:rPr>
      <w:rFonts w:ascii="Cambria" w:hAnsi="Cambria" w:eastAsia="宋体" w:cs="Times New Roman"/>
      <w:color w:val="365F91"/>
      <w:kern w:val="0"/>
      <w:sz w:val="28"/>
      <w:szCs w:val="28"/>
    </w:rPr>
  </w:style>
  <w:style w:type="character" w:customStyle="1" w:styleId="25">
    <w:name w:val="标题 字符"/>
    <w:basedOn w:val="9"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6">
    <w:name w:val="标题 3 Char"/>
    <w:basedOn w:val="9"/>
    <w:link w:val="4"/>
    <w:semiHidden/>
    <w:uiPriority w:val="9"/>
    <w:rPr>
      <w:rFonts w:ascii="Calibri" w:hAnsi="Calibri" w:eastAsia="仿宋_GB2312" w:cs="黑体"/>
      <w:b/>
      <w:bCs/>
      <w:sz w:val="32"/>
      <w:szCs w:val="32"/>
    </w:rPr>
  </w:style>
  <w:style w:type="character" w:customStyle="1" w:styleId="27">
    <w:name w:val="标题 2 Char"/>
    <w:basedOn w:val="9"/>
    <w:link w:val="3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theme" Target="theme/theme1.xml"/><Relationship Id="rId16" Type="http://schemas.openxmlformats.org/officeDocument/2006/relationships/footer" Target="footer6.xml"/><Relationship Id="rId15" Type="http://schemas.openxmlformats.org/officeDocument/2006/relationships/footer" Target="footer5.xml"/><Relationship Id="rId14" Type="http://schemas.openxmlformats.org/officeDocument/2006/relationships/footer" Target="footer4.xml"/><Relationship Id="rId13" Type="http://schemas.openxmlformats.org/officeDocument/2006/relationships/header" Target="header6.xml"/><Relationship Id="rId12" Type="http://schemas.openxmlformats.org/officeDocument/2006/relationships/header" Target="header5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74BB1-235E-47DA-9B3D-30B82BFAFD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1221</Words>
  <Characters>1329</Characters>
  <Lines>6</Lines>
  <Paragraphs>1</Paragraphs>
  <TotalTime>94</TotalTime>
  <ScaleCrop>false</ScaleCrop>
  <LinksUpToDate>false</LinksUpToDate>
  <CharactersWithSpaces>1403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2020-12-10T04:14:00Z</dcterms:created>
  <dc:creator>志闯 赵</dc:creator>
  <cp:lastModifiedBy>小阳</cp:lastModifiedBy>
  <dcterms:modified xsi:type="dcterms:W3CDTF">2024-06-04T08:00:26Z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AF27FAEDAB8E4113A51C9A020A694B74_12</vt:lpwstr>
  </property>
</Properties>
</file>