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B9C4E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30684AA2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2C03EAB7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2D503B5C">
      <w:pPr>
        <w:spacing w:before="120" w:after="120" w:line="480" w:lineRule="auto"/>
        <w:ind w:firstLine="883"/>
        <w:jc w:val="center"/>
        <w:outlineLvl w:val="0"/>
        <w:rPr>
          <w:rFonts w:ascii="仿宋_GB2312" w:hAnsi="Arial"/>
          <w:b/>
          <w:sz w:val="44"/>
          <w:szCs w:val="44"/>
        </w:rPr>
      </w:pPr>
      <w:bookmarkStart w:id="0" w:name="_Toc56442937"/>
      <w:bookmarkStart w:id="1" w:name="_Toc56443217"/>
      <w:bookmarkStart w:id="2" w:name="_Toc24862"/>
      <w:r>
        <w:rPr>
          <w:rFonts w:hint="eastAsia" w:ascii="仿宋_GB2312" w:hAnsi="Arial"/>
          <w:b/>
          <w:sz w:val="44"/>
          <w:szCs w:val="44"/>
        </w:rPr>
        <w:t>财政项目支出绩效自评报告</w:t>
      </w:r>
      <w:bookmarkEnd w:id="0"/>
      <w:bookmarkEnd w:id="1"/>
      <w:bookmarkEnd w:id="2"/>
    </w:p>
    <w:p w14:paraId="7A01F9D5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38DA502C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2A428220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5486CCCE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526BEA1B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1100DD89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693F8E6F">
      <w:pPr>
        <w:spacing w:line="480" w:lineRule="auto"/>
        <w:ind w:firstLine="0" w:firstLineChars="0"/>
        <w:jc w:val="center"/>
        <w:rPr>
          <w:rFonts w:ascii="仿宋_GB2312" w:hAnsi="Times New Roman" w:cs="Times New Roman"/>
          <w:kern w:val="0"/>
          <w:sz w:val="30"/>
          <w:szCs w:val="30"/>
          <w:lang w:bidi="en-US"/>
        </w:rPr>
      </w:pPr>
    </w:p>
    <w:p w14:paraId="464824F8">
      <w:pPr>
        <w:spacing w:line="480" w:lineRule="auto"/>
        <w:ind w:firstLine="882" w:firstLineChars="44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项目名称：2022年城市公立医院改革取消药品加成市级补助</w:t>
      </w:r>
    </w:p>
    <w:p w14:paraId="58BF2678">
      <w:pPr>
        <w:spacing w:line="480" w:lineRule="auto"/>
        <w:ind w:firstLine="882" w:firstLineChars="44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项目单位：开封市第五人民医院</w:t>
      </w:r>
    </w:p>
    <w:p w14:paraId="3833A468">
      <w:pPr>
        <w:spacing w:line="480" w:lineRule="auto"/>
        <w:ind w:firstLine="882" w:firstLineChars="44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主管部门：卫健委</w:t>
      </w:r>
    </w:p>
    <w:p w14:paraId="30370951">
      <w:pPr>
        <w:spacing w:line="480" w:lineRule="auto"/>
        <w:ind w:firstLine="0" w:firstLineChars="0"/>
        <w:rPr>
          <w:rFonts w:ascii="黑体" w:hAnsi="Times New Roman" w:eastAsia="黑体" w:cs="Times New Roman"/>
          <w:b/>
          <w:kern w:val="0"/>
          <w:sz w:val="32"/>
          <w:szCs w:val="32"/>
          <w:lang w:bidi="en-US"/>
        </w:rPr>
      </w:pPr>
    </w:p>
    <w:p w14:paraId="4A6D329B">
      <w:pPr>
        <w:spacing w:line="480" w:lineRule="auto"/>
        <w:ind w:firstLine="0" w:firstLineChars="0"/>
        <w:rPr>
          <w:rFonts w:ascii="黑体" w:hAnsi="Times New Roman" w:eastAsia="黑体" w:cs="Times New Roman"/>
          <w:b/>
          <w:kern w:val="0"/>
          <w:sz w:val="32"/>
          <w:szCs w:val="32"/>
          <w:lang w:bidi="en-US"/>
        </w:rPr>
      </w:pPr>
    </w:p>
    <w:p w14:paraId="5A3B3767">
      <w:pPr>
        <w:spacing w:line="480" w:lineRule="auto"/>
        <w:ind w:firstLine="0" w:firstLineChars="0"/>
        <w:jc w:val="center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2024年06月</w:t>
      </w:r>
    </w:p>
    <w:p w14:paraId="2CC9551E">
      <w:pPr>
        <w:pStyle w:val="24"/>
        <w:jc w:val="both"/>
      </w:pPr>
    </w:p>
    <w:p w14:paraId="7AF6D319">
      <w:pPr>
        <w:ind w:firstLine="0" w:firstLineChars="0"/>
        <w:rPr>
          <w:szCs w:val="44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A60F018">
      <w:pPr>
        <w:pStyle w:val="18"/>
      </w:pPr>
      <w:bookmarkStart w:id="3" w:name="_Toc56442938"/>
      <w:bookmarkStart w:id="4" w:name="_Toc20727"/>
      <w:bookmarkStart w:id="5" w:name="_Toc56442880"/>
      <w:r>
        <w:rPr>
          <w:rFonts w:hint="eastAsia"/>
        </w:rPr>
        <w:t>一、项目基本情况</w:t>
      </w:r>
      <w:bookmarkEnd w:id="3"/>
      <w:bookmarkEnd w:id="4"/>
      <w:bookmarkEnd w:id="5"/>
    </w:p>
    <w:p w14:paraId="33E79E83">
      <w:pPr>
        <w:pStyle w:val="22"/>
        <w:ind w:left="199" w:leftChars="71"/>
      </w:pPr>
      <w:bookmarkStart w:id="6" w:name="_Toc56442939"/>
      <w:bookmarkStart w:id="7" w:name="_Toc56442881"/>
      <w:bookmarkStart w:id="8" w:name="_Toc11153"/>
      <w:r>
        <w:rPr>
          <w:rFonts w:hint="eastAsia"/>
        </w:rPr>
        <w:t>（一）项目</w:t>
      </w:r>
      <w:bookmarkEnd w:id="6"/>
      <w:bookmarkEnd w:id="7"/>
      <w:bookmarkEnd w:id="8"/>
      <w:r>
        <w:rPr>
          <w:rFonts w:hint="eastAsia"/>
        </w:rPr>
        <w:t>概况</w:t>
      </w:r>
    </w:p>
    <w:p w14:paraId="58E32F5E">
      <w:pPr>
        <w:pStyle w:val="13"/>
        <w:ind w:firstLine="560"/>
        <w:rPr>
          <w:rFonts w:ascii="宋体" w:hAnsi="宋体" w:eastAsia="宋体" w:cs="宋体"/>
          <w:sz w:val="20"/>
          <w:u w:val="none"/>
        </w:rPr>
      </w:pPr>
      <w:bookmarkStart w:id="9" w:name="_Toc56442940"/>
      <w:bookmarkStart w:id="10" w:name="_Toc5633"/>
      <w:bookmarkStart w:id="11" w:name="_Toc56442882"/>
      <w:r>
        <w:rPr>
          <w:rFonts w:ascii="宋体" w:hAnsi="宋体" w:eastAsia="宋体" w:cs="宋体"/>
          <w:sz w:val="20"/>
          <w:u w:val="none"/>
        </w:rPr>
        <w:t>"1、长期目标   2021-2023年推动落实公立医院综合改革任务，弥补城市公立医院因取消药品加成减少的10%收入。</w:t>
      </w:r>
    </w:p>
    <w:p w14:paraId="57B8E09B"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>2、年度目标    202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3</w:t>
      </w:r>
      <w:r>
        <w:rPr>
          <w:rFonts w:ascii="宋体" w:hAnsi="宋体" w:eastAsia="宋体" w:cs="宋体"/>
          <w:sz w:val="20"/>
          <w:u w:val="none"/>
        </w:rPr>
        <w:t>年推动落实公立医院综合改革任务，弥补城市公立医院因取消药品加成减少的10%收入。"</w:t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  <w:t/>
      </w:r>
      <w:r>
        <w:rPr>
          <w:rFonts w:ascii="宋体" w:hAnsi="宋体" w:eastAsia="宋体" w:cs="宋体"/>
          <w:sz w:val="20"/>
          <w:u w:val="none"/>
        </w:rPr>
        <w:tab/>
      </w:r>
    </w:p>
    <w:p w14:paraId="6A8D6C0E">
      <w:pPr>
        <w:pStyle w:val="22"/>
        <w:ind w:left="199" w:leftChars="71"/>
      </w:pPr>
      <w:r>
        <w:rPr>
          <w:rFonts w:hint="eastAsia"/>
        </w:rPr>
        <w:t>（二）项目预算安排及使用情况</w:t>
      </w:r>
      <w:bookmarkEnd w:id="9"/>
      <w:bookmarkEnd w:id="10"/>
      <w:bookmarkEnd w:id="11"/>
      <w:r>
        <w:rPr>
          <w:rFonts w:hint="eastAsia"/>
        </w:rPr>
        <w:t xml:space="preserve"> </w:t>
      </w:r>
    </w:p>
    <w:p w14:paraId="4E773571">
      <w:pPr>
        <w:pStyle w:val="13"/>
        <w:ind w:firstLine="482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表1-2-1 年度预算安排及使用情况统计表</w:t>
      </w:r>
    </w:p>
    <w:p w14:paraId="496527C8">
      <w:pPr>
        <w:pStyle w:val="13"/>
        <w:ind w:firstLine="482"/>
        <w:jc w:val="center"/>
        <w:rPr>
          <w:b/>
          <w:bCs/>
          <w:sz w:val="24"/>
          <w:szCs w:val="24"/>
        </w:rPr>
      </w:pPr>
      <w:r>
        <w:rPr>
          <w:rFonts w:ascii="宋体" w:hAnsi="宋体" w:eastAsia="宋体" w:cs="宋体"/>
          <w:sz w:val="20"/>
          <w:u w:val="none"/>
        </w:rPr>
        <w:t xml:space="preserve">                                           单位：万元 </w:t>
      </w:r>
    </w:p>
    <w:tbl>
      <w:tblPr>
        <w:tblStyle w:val="8"/>
        <w:tblW w:w="4696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640"/>
        <w:gridCol w:w="1639"/>
        <w:gridCol w:w="1821"/>
        <w:gridCol w:w="1602"/>
      </w:tblGrid>
      <w:tr w14:paraId="3CC57A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4A2085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CE5A72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年初预算数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08FDE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全年预算数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C2A49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全年执行数</w:t>
            </w:r>
          </w:p>
        </w:tc>
        <w:tc>
          <w:tcPr>
            <w:tcW w:w="10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FF2F47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执行率</w:t>
            </w:r>
          </w:p>
        </w:tc>
      </w:tr>
      <w:tr w14:paraId="729C2B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08CE06"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年度资金总额：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4C1C8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AC409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35.00　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F77D1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047228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0.0%</w:t>
            </w:r>
          </w:p>
        </w:tc>
      </w:tr>
      <w:tr w14:paraId="6A8555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2D025"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政府预算资金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7FC52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7D0BF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35.00　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200C12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7C02D5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0.0%</w:t>
            </w:r>
          </w:p>
        </w:tc>
      </w:tr>
      <w:tr w14:paraId="77D5A4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24A171"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财政专户管理资金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523C13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D77E70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1A9136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41AEA4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0.00%</w:t>
            </w:r>
          </w:p>
        </w:tc>
      </w:tr>
      <w:tr w14:paraId="67EDA5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1CB715"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单位资金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85349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8FC2E7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34F846">
            <w:pPr>
              <w:widowControl/>
              <w:ind w:firstLine="0" w:firstLine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u w:val="none"/>
                <w:lang w:val="en-US" w:eastAsia="zh-CN"/>
              </w:rPr>
              <w:t>0.00</w:t>
            </w:r>
          </w:p>
        </w:tc>
        <w:tc>
          <w:tcPr>
            <w:tcW w:w="10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585E5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0.00%</w:t>
            </w:r>
          </w:p>
        </w:tc>
      </w:tr>
    </w:tbl>
    <w:p w14:paraId="5A0AB01E">
      <w:pPr>
        <w:pStyle w:val="22"/>
        <w:ind w:left="199" w:leftChars="71"/>
      </w:pPr>
      <w:bookmarkStart w:id="12" w:name="_Toc56442883"/>
      <w:bookmarkStart w:id="13" w:name="_Toc15851"/>
      <w:bookmarkStart w:id="14" w:name="_Toc56442941"/>
      <w:r>
        <w:rPr>
          <w:rFonts w:hint="eastAsia"/>
        </w:rPr>
        <w:t>（三）</w:t>
      </w:r>
      <w:bookmarkEnd w:id="12"/>
      <w:bookmarkEnd w:id="13"/>
      <w:bookmarkEnd w:id="14"/>
      <w:r>
        <w:rPr>
          <w:rFonts w:hint="eastAsia"/>
        </w:rPr>
        <w:t>资金管理情况表</w:t>
      </w:r>
    </w:p>
    <w:p w14:paraId="065F0249">
      <w:pPr>
        <w:pStyle w:val="13"/>
        <w:ind w:firstLine="482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表1-2-2 资金管理情况表</w:t>
      </w:r>
    </w:p>
    <w:tbl>
      <w:tblPr>
        <w:tblStyle w:val="8"/>
        <w:tblW w:w="8166" w:type="dxa"/>
        <w:tblInd w:w="-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3862"/>
        <w:gridCol w:w="3106"/>
      </w:tblGrid>
      <w:tr w14:paraId="44AA9B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B35BC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96435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情况说明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62948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存在问题和改进措施</w:t>
            </w:r>
          </w:p>
        </w:tc>
      </w:tr>
      <w:tr w14:paraId="53BFE9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7EFD9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安排科学性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932A4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资金安排急迫、可行，符合我院年度取消药品加成的工作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8C37B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AB037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08679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拨付合规性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380CF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资金未拨付到位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16F87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资金未拨付到位</w:t>
            </w:r>
          </w:p>
        </w:tc>
      </w:tr>
      <w:tr w14:paraId="7F4AA0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E6D8B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使用规范性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D3D4B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按专项资金管理办法合理使用，未有改变项目资金用途的情况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5513E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38BE4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AD52F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预算绩效管理情况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14A6A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预算编制、预算过程管理、预算执行结果分析管理规范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06BFF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2EAC38E8">
      <w:pPr>
        <w:pStyle w:val="22"/>
        <w:ind w:left="199" w:leftChars="71"/>
      </w:pPr>
      <w:r>
        <w:rPr>
          <w:rFonts w:hint="eastAsia"/>
        </w:rPr>
        <w:t>（四）项目绩效目标</w:t>
      </w:r>
    </w:p>
    <w:p w14:paraId="671367C1">
      <w:pPr>
        <w:pStyle w:val="15"/>
        <w:ind w:leftChars="0"/>
      </w:pPr>
      <w:r>
        <w:rPr>
          <w:rFonts w:hint="eastAsia"/>
        </w:rPr>
        <w:t>1. 项目年度绩效目标</w:t>
      </w:r>
    </w:p>
    <w:p w14:paraId="6E8056CA"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ab/>
        <w:t>将城市公立医院改革取消药品加成市级工作落到实处。</w:t>
      </w:r>
    </w:p>
    <w:p w14:paraId="4C8E7101">
      <w:pPr>
        <w:pStyle w:val="15"/>
        <w:ind w:left="199" w:leftChars="71"/>
      </w:pPr>
      <w:bookmarkStart w:id="15" w:name="_Toc56442942"/>
      <w:bookmarkStart w:id="16" w:name="_Toc56442884"/>
      <w:r>
        <w:rPr>
          <w:rFonts w:hint="eastAsia"/>
        </w:rPr>
        <w:t>2.项目年度绩效目标完成情况</w:t>
      </w:r>
      <w:bookmarkEnd w:id="15"/>
      <w:bookmarkEnd w:id="16"/>
    </w:p>
    <w:p w14:paraId="0F920351"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ab/>
        <w:t xml:space="preserve"> 通过年度城市公立医院改革取消药品加成市级项目的有效实施，我院保障可持续的运行新机制和科学合理的补偿机制。</w:t>
      </w:r>
    </w:p>
    <w:p w14:paraId="6F95E6A2">
      <w:pPr>
        <w:pStyle w:val="18"/>
      </w:pPr>
      <w:bookmarkStart w:id="17" w:name="_Toc20144"/>
      <w:bookmarkStart w:id="18" w:name="_Toc56442885"/>
      <w:bookmarkStart w:id="19" w:name="_Toc56442943"/>
      <w:r>
        <w:rPr>
          <w:rFonts w:hint="eastAsia"/>
        </w:rPr>
        <w:t>二、</w:t>
      </w:r>
      <w:bookmarkEnd w:id="17"/>
      <w:bookmarkEnd w:id="18"/>
      <w:bookmarkEnd w:id="19"/>
      <w:r>
        <w:rPr>
          <w:rFonts w:hint="eastAsia"/>
        </w:rPr>
        <w:t>总体评价结论和指标分析</w:t>
      </w:r>
    </w:p>
    <w:p w14:paraId="64BDB522">
      <w:pPr>
        <w:pStyle w:val="22"/>
        <w:ind w:left="560"/>
      </w:pPr>
      <w:r>
        <w:rPr>
          <w:rFonts w:hint="eastAsia"/>
        </w:rPr>
        <w:t>（一）总体评价结论</w:t>
      </w:r>
    </w:p>
    <w:p w14:paraId="5CDAC2ED"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>综合考虑资金管理、产出、效果、满意度等各方面因素，通过数据采集及分析，最终评分结果：2022年城市公立医院改革取消药品加成市级补助绩效自评价结果为:总得分85分，属于"良"。</w:t>
      </w:r>
    </w:p>
    <w:p w14:paraId="4F74D550">
      <w:pPr>
        <w:ind w:firstLine="560"/>
      </w:pPr>
    </w:p>
    <w:p w14:paraId="50284863">
      <w:pPr>
        <w:pStyle w:val="22"/>
        <w:ind w:left="560"/>
      </w:pPr>
      <w:bookmarkStart w:id="20" w:name="_Toc56442944"/>
      <w:bookmarkStart w:id="21" w:name="_Toc56442886"/>
      <w:bookmarkStart w:id="22" w:name="_Toc2119"/>
      <w:r>
        <w:rPr>
          <w:rFonts w:hint="eastAsia"/>
        </w:rPr>
        <w:t>（二）指标分析</w:t>
      </w:r>
    </w:p>
    <w:bookmarkEnd w:id="20"/>
    <w:bookmarkEnd w:id="21"/>
    <w:bookmarkEnd w:id="22"/>
    <w:p w14:paraId="346DCE24">
      <w:pPr>
        <w:pStyle w:val="13"/>
        <w:ind w:firstLine="560"/>
      </w:pPr>
      <w:r>
        <w:rPr>
          <w:rFonts w:hint="eastAsia"/>
        </w:rPr>
        <w:t>1.绩效目标完成的指标</w:t>
      </w:r>
    </w:p>
    <w:p w14:paraId="61E02D04">
      <w:pPr>
        <w:pStyle w:val="13"/>
        <w:ind w:firstLine="560"/>
        <w:rPr>
          <w:rFonts w:ascii="宋体" w:hAnsi="宋体" w:eastAsia="宋体" w:cs="宋体"/>
          <w:sz w:val="20"/>
          <w:u w:val="none"/>
        </w:rPr>
      </w:pPr>
      <w:r>
        <w:rPr>
          <w:rFonts w:hint="eastAsia" w:ascii="宋体" w:hAnsi="宋体" w:eastAsia="宋体" w:cs="宋体"/>
          <w:sz w:val="20"/>
          <w:u w:val="none"/>
          <w:lang w:eastAsia="zh-CN"/>
        </w:rPr>
        <w:t>（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1</w:t>
      </w:r>
      <w:r>
        <w:rPr>
          <w:rFonts w:hint="eastAsia" w:ascii="宋体" w:hAnsi="宋体" w:eastAsia="宋体" w:cs="宋体"/>
          <w:sz w:val="20"/>
          <w:u w:val="none"/>
          <w:lang w:eastAsia="zh-CN"/>
        </w:rPr>
        <w:t>）</w:t>
      </w:r>
      <w:r>
        <w:rPr>
          <w:rFonts w:ascii="宋体" w:hAnsi="宋体" w:eastAsia="宋体" w:cs="宋体"/>
          <w:sz w:val="20"/>
          <w:u w:val="none"/>
        </w:rPr>
        <w:t>项目目标完成率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100</w:t>
      </w:r>
      <w:r>
        <w:rPr>
          <w:rFonts w:ascii="宋体" w:hAnsi="宋体" w:eastAsia="宋体" w:cs="宋体"/>
          <w:sz w:val="20"/>
          <w:u w:val="none"/>
        </w:rPr>
        <w:t xml:space="preserve">; </w:t>
      </w:r>
    </w:p>
    <w:p w14:paraId="6909B4EB">
      <w:pPr>
        <w:pStyle w:val="13"/>
        <w:ind w:firstLine="560"/>
        <w:rPr>
          <w:rFonts w:ascii="宋体" w:hAnsi="宋体" w:eastAsia="宋体" w:cs="宋体"/>
          <w:sz w:val="20"/>
          <w:u w:val="none"/>
        </w:rPr>
      </w:pPr>
      <w:r>
        <w:rPr>
          <w:rFonts w:hint="eastAsia" w:ascii="宋体" w:hAnsi="宋体" w:eastAsia="宋体" w:cs="宋体"/>
          <w:sz w:val="20"/>
          <w:u w:val="none"/>
          <w:lang w:eastAsia="zh-CN"/>
        </w:rPr>
        <w:t>（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0"/>
          <w:u w:val="none"/>
          <w:lang w:eastAsia="zh-CN"/>
        </w:rPr>
        <w:t>）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医院高质量完成该项目</w:t>
      </w:r>
      <w:r>
        <w:rPr>
          <w:rFonts w:ascii="宋体" w:hAnsi="宋体" w:eastAsia="宋体" w:cs="宋体"/>
          <w:sz w:val="20"/>
          <w:u w:val="none"/>
        </w:rPr>
        <w:t xml:space="preserve">; </w:t>
      </w:r>
    </w:p>
    <w:p w14:paraId="7389FC30">
      <w:pPr>
        <w:pStyle w:val="13"/>
        <w:ind w:firstLine="560"/>
      </w:pPr>
      <w:r>
        <w:rPr>
          <w:rFonts w:hint="eastAsia" w:ascii="宋体" w:hAnsi="宋体" w:eastAsia="宋体" w:cs="宋体"/>
          <w:sz w:val="20"/>
          <w:u w:val="none"/>
          <w:lang w:eastAsia="zh-CN"/>
        </w:rPr>
        <w:t>（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0"/>
          <w:u w:val="none"/>
          <w:lang w:eastAsia="zh-CN"/>
        </w:rPr>
        <w:t>）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随该笔资金未能拨付，但医院仍然及时结算药费</w:t>
      </w:r>
      <w:bookmarkStart w:id="31" w:name="_GoBack"/>
      <w:bookmarkEnd w:id="31"/>
      <w:r>
        <w:rPr>
          <w:rFonts w:ascii="宋体" w:hAnsi="宋体" w:eastAsia="宋体" w:cs="宋体"/>
          <w:sz w:val="20"/>
          <w:u w:val="none"/>
        </w:rPr>
        <w:t>;</w:t>
      </w:r>
    </w:p>
    <w:p w14:paraId="0F9CB7B9">
      <w:pPr>
        <w:pStyle w:val="13"/>
        <w:ind w:firstLine="560"/>
      </w:pPr>
      <w:r>
        <w:rPr>
          <w:rFonts w:hint="eastAsia"/>
        </w:rPr>
        <w:t>2.没有完成绩效目标的指标</w:t>
      </w:r>
    </w:p>
    <w:p w14:paraId="0A40F878">
      <w:pPr>
        <w:pStyle w:val="13"/>
        <w:ind w:firstLine="560"/>
      </w:pPr>
    </w:p>
    <w:p w14:paraId="7988D946">
      <w:pPr>
        <w:ind w:firstLine="560"/>
      </w:pPr>
    </w:p>
    <w:p w14:paraId="12044FCA">
      <w:pPr>
        <w:pStyle w:val="18"/>
      </w:pPr>
      <w:bookmarkStart w:id="23" w:name="_Toc56442948"/>
      <w:bookmarkStart w:id="24" w:name="_Toc20132"/>
      <w:bookmarkStart w:id="25" w:name="_Toc56442890"/>
      <w:r>
        <w:rPr>
          <w:rFonts w:hint="eastAsia"/>
        </w:rPr>
        <w:t>三、存在的问题和建议</w:t>
      </w:r>
      <w:bookmarkEnd w:id="23"/>
      <w:bookmarkEnd w:id="24"/>
      <w:bookmarkEnd w:id="25"/>
    </w:p>
    <w:p w14:paraId="4A75A783">
      <w:pPr>
        <w:pStyle w:val="22"/>
        <w:ind w:left="560"/>
      </w:pPr>
      <w:bookmarkStart w:id="26" w:name="_Toc19895"/>
      <w:bookmarkStart w:id="27" w:name="_Toc56442889"/>
      <w:bookmarkStart w:id="28" w:name="_Toc56442947"/>
      <w:r>
        <w:rPr>
          <w:rFonts w:hint="eastAsia"/>
        </w:rPr>
        <w:t>（一）存在的问题</w:t>
      </w:r>
      <w:bookmarkEnd w:id="26"/>
      <w:bookmarkEnd w:id="27"/>
      <w:bookmarkEnd w:id="28"/>
    </w:p>
    <w:p w14:paraId="1EA83019">
      <w:pPr>
        <w:pStyle w:val="13"/>
        <w:ind w:firstLine="600" w:firstLineChars="300"/>
      </w:pPr>
      <w:r>
        <w:rPr>
          <w:rFonts w:ascii="宋体" w:hAnsi="宋体" w:eastAsia="宋体" w:cs="宋体"/>
          <w:sz w:val="20"/>
          <w:u w:val="none"/>
        </w:rPr>
        <w:t xml:space="preserve"> 在项目执行的过程中，因资金拨付不到位，医院项目进行缓慢</w:t>
      </w:r>
    </w:p>
    <w:p w14:paraId="3549EAF3">
      <w:pPr>
        <w:pStyle w:val="22"/>
        <w:ind w:left="560"/>
      </w:pPr>
      <w:bookmarkStart w:id="29" w:name="_Toc21644"/>
      <w:r>
        <w:rPr>
          <w:rFonts w:hint="eastAsia"/>
        </w:rPr>
        <w:t>（二）改进建议</w:t>
      </w:r>
      <w:bookmarkEnd w:id="29"/>
    </w:p>
    <w:p w14:paraId="6FC74B22">
      <w:pPr>
        <w:pStyle w:val="13"/>
        <w:ind w:firstLine="562"/>
        <w:rPr>
          <w:b/>
          <w:bCs/>
        </w:rPr>
      </w:pPr>
      <w:r>
        <w:rPr>
          <w:rFonts w:hint="eastAsia"/>
          <w:b/>
          <w:bCs/>
        </w:rPr>
        <w:t>1.对项目决策的建议</w:t>
      </w:r>
    </w:p>
    <w:p w14:paraId="4B9A55E8">
      <w:pPr>
        <w:pStyle w:val="13"/>
        <w:ind w:firstLine="600" w:firstLineChars="300"/>
      </w:pPr>
      <w:r>
        <w:rPr>
          <w:rFonts w:ascii="宋体" w:hAnsi="宋体" w:eastAsia="宋体" w:cs="宋体"/>
          <w:sz w:val="20"/>
          <w:u w:val="none"/>
        </w:rPr>
        <w:t>完善制度，促进项目资金合理安排，科学使用，提高财政资金使用效率，推进基本公共卫生服务的创新机制，加强公共卫生资金管理。</w:t>
      </w:r>
    </w:p>
    <w:p w14:paraId="7ADE772D">
      <w:pPr>
        <w:pStyle w:val="15"/>
        <w:ind w:left="560"/>
      </w:pPr>
      <w:r>
        <w:rPr>
          <w:rFonts w:hint="eastAsia"/>
        </w:rPr>
        <w:t>2.对预算安排及执行情况的建议</w:t>
      </w:r>
    </w:p>
    <w:p w14:paraId="438EE7A4">
      <w:pPr>
        <w:pStyle w:val="13"/>
        <w:ind w:firstLine="142" w:firstLineChars="71"/>
      </w:pPr>
      <w:r>
        <w:rPr>
          <w:rFonts w:ascii="宋体" w:hAnsi="宋体" w:eastAsia="宋体" w:cs="宋体"/>
          <w:sz w:val="20"/>
          <w:u w:val="none"/>
        </w:rPr>
        <w:t xml:space="preserve">     1、规范项目支出预算编制工作，建立科学有效的审核机制和项目立项规则。2、提高项目资金预算执行约束力，规范项目资金使用的程序审批。3、加强对项目资金评审监督和绩效考核，规范考核机制，强化绩效跟踪，细化评价项目，严格绩效问责。</w:t>
      </w:r>
    </w:p>
    <w:p w14:paraId="5C5966CD">
      <w:pPr>
        <w:pStyle w:val="13"/>
        <w:ind w:firstLine="562"/>
        <w:rPr>
          <w:b/>
          <w:bCs/>
        </w:rPr>
      </w:pPr>
      <w:r>
        <w:rPr>
          <w:rFonts w:hint="eastAsia"/>
          <w:b/>
          <w:bCs/>
        </w:rPr>
        <w:t>3.对资金管理的建议</w:t>
      </w:r>
    </w:p>
    <w:p w14:paraId="6CC9B9B6"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 xml:space="preserve">   1、加强部门预算管理，提升项目实施的精准度。2、制订专项资金考评和管控体系，实行全程监管。3、赋予财务人员对专项资金的管理权限，参与到项目实施的全过程。</w:t>
      </w:r>
    </w:p>
    <w:p w14:paraId="11E662E5">
      <w:pPr>
        <w:pStyle w:val="13"/>
        <w:ind w:firstLine="562"/>
        <w:rPr>
          <w:b/>
          <w:bCs/>
        </w:rPr>
      </w:pPr>
      <w:r>
        <w:rPr>
          <w:rFonts w:hint="eastAsia"/>
          <w:b/>
          <w:bCs/>
        </w:rPr>
        <w:t>4.对项目管理的建议</w:t>
      </w:r>
    </w:p>
    <w:p w14:paraId="4E6CB4B2">
      <w:pPr>
        <w:pStyle w:val="13"/>
        <w:ind w:firstLine="742" w:firstLineChars="371"/>
      </w:pPr>
      <w:r>
        <w:rPr>
          <w:rFonts w:ascii="宋体" w:hAnsi="宋体" w:eastAsia="宋体" w:cs="宋体"/>
          <w:sz w:val="20"/>
          <w:u w:val="none"/>
        </w:rPr>
        <w:t>1、加强领导，规范项目资金使用管理制度。2、突出重点，确保项目资金合理使用。</w:t>
      </w:r>
    </w:p>
    <w:p w14:paraId="3B5CF1C6">
      <w:pPr>
        <w:pStyle w:val="13"/>
        <w:ind w:firstLine="562"/>
      </w:pPr>
      <w:r>
        <w:rPr>
          <w:rFonts w:hint="eastAsia"/>
          <w:b/>
          <w:bCs/>
        </w:rPr>
        <w:t>5.其他建议</w:t>
      </w:r>
      <w:r>
        <w:rPr>
          <w:rFonts w:hint="eastAsia"/>
        </w:rPr>
        <w:tab/>
      </w:r>
    </w:p>
    <w:p w14:paraId="77B3FBFD">
      <w:pPr>
        <w:ind w:firstLine="1161" w:firstLineChars="413"/>
        <w:rPr>
          <w:rFonts w:ascii="宋体" w:hAnsi="宋体" w:eastAsia="宋体"/>
          <w:b/>
          <w:bCs/>
        </w:rPr>
      </w:pPr>
    </w:p>
    <w:p w14:paraId="4ED7088E">
      <w:pPr>
        <w:pStyle w:val="22"/>
        <w:ind w:left="0" w:leftChars="0"/>
      </w:pPr>
      <w:r>
        <w:br w:type="page"/>
      </w:r>
      <w:bookmarkStart w:id="30" w:name="_Toc12241"/>
      <w:r>
        <w:rPr>
          <w:rFonts w:eastAsia="仿宋"/>
        </w:rPr>
        <w:t xml:space="preserve">附表1 </w:t>
      </w:r>
      <w:r>
        <w:rPr>
          <w:rFonts w:hint="eastAsia" w:eastAsia="仿宋"/>
        </w:rPr>
        <w:t>自评价</w:t>
      </w:r>
      <w:r>
        <w:rPr>
          <w:rFonts w:eastAsia="仿宋"/>
        </w:rPr>
        <w:t>评分表</w:t>
      </w:r>
      <w:bookmarkEnd w:id="30"/>
    </w:p>
    <w:tbl>
      <w:tblPr>
        <w:tblStyle w:val="8"/>
        <w:tblW w:w="9072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114"/>
        <w:gridCol w:w="1015"/>
        <w:gridCol w:w="1130"/>
        <w:gridCol w:w="1130"/>
        <w:gridCol w:w="732"/>
        <w:gridCol w:w="732"/>
        <w:gridCol w:w="1795"/>
        <w:gridCol w:w="32"/>
      </w:tblGrid>
      <w:tr w14:paraId="252103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gridSpan w:val="9"/>
            <w:shd w:val="clear" w:color="auto" w:fill="BFBFBF"/>
          </w:tcPr>
          <w:p w14:paraId="2A6FFBF1">
            <w:pPr>
              <w:spacing w:line="240" w:lineRule="atLeast"/>
              <w:ind w:firstLine="0" w:firstLineChars="0"/>
              <w:jc w:val="center"/>
              <w:rPr>
                <w:rFonts w:ascii="黑体" w:hAnsi="黑体" w:eastAsia="黑体" w:cs="Arial"/>
                <w:b/>
                <w:bCs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自评价评分附件表</w:t>
            </w:r>
          </w:p>
        </w:tc>
      </w:tr>
      <w:tr w14:paraId="55B7AF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00" w:hRule="atLeast"/>
        </w:trPr>
        <w:tc>
          <w:tcPr>
            <w:tcW w:w="5000" w:type="dxa"/>
            <w:vMerge w:val="restart"/>
          </w:tcPr>
          <w:p w14:paraId="0B083753">
            <w:pPr>
              <w:ind w:firstLine="0"/>
            </w:pPr>
            <w:r>
              <w:rPr>
                <w:sz w:val="20"/>
              </w:rPr>
              <w:t>一级指标</w:t>
            </w:r>
          </w:p>
        </w:tc>
        <w:tc>
          <w:tcPr>
            <w:tcW w:w="5000" w:type="dxa"/>
            <w:vMerge w:val="restart"/>
          </w:tcPr>
          <w:p w14:paraId="7DAA1BC9">
            <w:pPr>
              <w:ind w:firstLine="0"/>
            </w:pPr>
            <w:r>
              <w:rPr>
                <w:sz w:val="20"/>
              </w:rPr>
              <w:t>二级指标</w:t>
            </w:r>
          </w:p>
        </w:tc>
        <w:tc>
          <w:tcPr>
            <w:tcW w:w="5000" w:type="dxa"/>
          </w:tcPr>
          <w:p w14:paraId="697E4B73">
            <w:pPr>
              <w:ind w:firstLine="0"/>
            </w:pPr>
            <w:r>
              <w:rPr>
                <w:sz w:val="20"/>
              </w:rPr>
              <w:t>三级指标</w:t>
            </w:r>
          </w:p>
        </w:tc>
        <w:tc>
          <w:tcPr>
            <w:tcW w:w="5000" w:type="dxa"/>
          </w:tcPr>
          <w:p w14:paraId="2E78DDCE">
            <w:pPr>
              <w:ind w:firstLine="0"/>
            </w:pPr>
            <w:r>
              <w:rPr>
                <w:sz w:val="20"/>
              </w:rPr>
              <w:t>年度目标值</w:t>
            </w:r>
          </w:p>
        </w:tc>
        <w:tc>
          <w:tcPr>
            <w:tcW w:w="5000" w:type="dxa"/>
          </w:tcPr>
          <w:p w14:paraId="15634A18">
            <w:pPr>
              <w:ind w:firstLine="0"/>
            </w:pPr>
            <w:r>
              <w:rPr>
                <w:sz w:val="20"/>
              </w:rPr>
              <w:t>实际完成值</w:t>
            </w:r>
          </w:p>
        </w:tc>
        <w:tc>
          <w:tcPr>
            <w:tcW w:w="5000" w:type="dxa"/>
          </w:tcPr>
          <w:p w14:paraId="028EF87F">
            <w:pPr>
              <w:ind w:firstLine="0"/>
            </w:pPr>
            <w:r>
              <w:rPr>
                <w:sz w:val="20"/>
              </w:rPr>
              <w:t>分值</w:t>
            </w:r>
          </w:p>
        </w:tc>
        <w:tc>
          <w:tcPr>
            <w:tcW w:w="5000" w:type="dxa"/>
          </w:tcPr>
          <w:p w14:paraId="14303178">
            <w:pPr>
              <w:ind w:firstLine="0"/>
            </w:pPr>
            <w:r>
              <w:rPr>
                <w:sz w:val="20"/>
              </w:rPr>
              <w:t>得分</w:t>
            </w:r>
          </w:p>
        </w:tc>
        <w:tc>
          <w:tcPr>
            <w:tcW w:w="5000" w:type="dxa"/>
          </w:tcPr>
          <w:p w14:paraId="0A30BE58">
            <w:pPr>
              <w:ind w:firstLine="0"/>
            </w:pPr>
            <w:r>
              <w:rPr>
                <w:sz w:val="20"/>
              </w:rPr>
              <w:t>偏差原因分析</w:t>
            </w:r>
          </w:p>
        </w:tc>
      </w:tr>
      <w:tr w14:paraId="75FE22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00" w:hRule="atLeast"/>
        </w:trPr>
        <w:tc>
          <w:tcPr>
            <w:tcW w:w="5000" w:type="dxa"/>
            <w:vMerge w:val="restart"/>
          </w:tcPr>
          <w:p w14:paraId="693CAAD1">
            <w:pPr>
              <w:ind w:firstLine="0"/>
            </w:pPr>
            <w:r>
              <w:rPr>
                <w:sz w:val="20"/>
              </w:rPr>
              <w:t>产出指标</w:t>
            </w:r>
          </w:p>
        </w:tc>
        <w:tc>
          <w:tcPr>
            <w:tcW w:w="5000" w:type="dxa"/>
            <w:vMerge w:val="restart"/>
          </w:tcPr>
          <w:p w14:paraId="49926544">
            <w:pPr>
              <w:ind w:firstLine="0"/>
            </w:pPr>
            <w:r>
              <w:rPr>
                <w:sz w:val="20"/>
              </w:rPr>
              <w:t>数量指标</w:t>
            </w:r>
          </w:p>
        </w:tc>
        <w:tc>
          <w:tcPr>
            <w:tcW w:w="5000" w:type="dxa"/>
          </w:tcPr>
          <w:p w14:paraId="4CC12BCC">
            <w:pPr>
              <w:ind w:firstLine="0"/>
            </w:pPr>
            <w:r>
              <w:rPr>
                <w:sz w:val="20"/>
              </w:rPr>
              <w:t>项目目标完成率</w:t>
            </w:r>
          </w:p>
        </w:tc>
        <w:tc>
          <w:tcPr>
            <w:tcW w:w="5000" w:type="dxa"/>
          </w:tcPr>
          <w:p w14:paraId="3C9CD4F7">
            <w:pPr>
              <w:ind w:firstLine="0"/>
            </w:pPr>
            <w:r>
              <w:rPr>
                <w:sz w:val="20"/>
              </w:rPr>
              <w:t>=100%</w:t>
            </w:r>
          </w:p>
        </w:tc>
        <w:tc>
          <w:tcPr>
            <w:tcW w:w="5000" w:type="dxa"/>
          </w:tcPr>
          <w:p w14:paraId="39E27DD0">
            <w:pPr>
              <w:ind w:firstLine="0"/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 w14:paraId="48E24299">
            <w:pPr>
              <w:ind w:firstLine="0"/>
            </w:pPr>
            <w:r>
              <w:rPr>
                <w:sz w:val="20"/>
              </w:rPr>
              <w:t>20</w:t>
            </w:r>
          </w:p>
        </w:tc>
        <w:tc>
          <w:tcPr>
            <w:tcW w:w="5000" w:type="dxa"/>
          </w:tcPr>
          <w:p w14:paraId="6BFB4C1A">
            <w:pPr>
              <w:ind w:firstLine="0"/>
            </w:pPr>
            <w:r>
              <w:rPr>
                <w:sz w:val="20"/>
              </w:rPr>
              <w:t>20</w:t>
            </w:r>
          </w:p>
        </w:tc>
        <w:tc>
          <w:tcPr>
            <w:tcW w:w="5000" w:type="dxa"/>
          </w:tcPr>
          <w:p w14:paraId="0B48C795">
            <w:pPr>
              <w:ind w:firstLine="0"/>
            </w:pPr>
          </w:p>
        </w:tc>
      </w:tr>
      <w:tr w14:paraId="2CB2BF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00" w:hRule="atLeast"/>
        </w:trPr>
        <w:tc>
          <w:tcPr>
            <w:tcW w:w="5000" w:type="dxa"/>
            <w:vMerge w:val="continue"/>
          </w:tcPr>
          <w:p w14:paraId="7D168048">
            <w:pPr>
              <w:ind w:firstLine="0"/>
            </w:pPr>
            <w:r>
              <w:rPr>
                <w:sz w:val="20"/>
              </w:rPr>
              <w:t>产出指标</w:t>
            </w:r>
          </w:p>
        </w:tc>
        <w:tc>
          <w:tcPr>
            <w:tcW w:w="5000" w:type="dxa"/>
            <w:vMerge w:val="restart"/>
          </w:tcPr>
          <w:p w14:paraId="54AD9FA9">
            <w:pPr>
              <w:ind w:firstLine="0"/>
            </w:pPr>
            <w:r>
              <w:rPr>
                <w:sz w:val="20"/>
              </w:rPr>
              <w:t>质量指标</w:t>
            </w:r>
          </w:p>
        </w:tc>
        <w:tc>
          <w:tcPr>
            <w:tcW w:w="5000" w:type="dxa"/>
          </w:tcPr>
          <w:p w14:paraId="7E010EDE">
            <w:pPr>
              <w:ind w:firstLine="0"/>
            </w:pPr>
            <w:r>
              <w:rPr>
                <w:sz w:val="20"/>
              </w:rPr>
              <w:t>项目结果质量评价</w:t>
            </w:r>
          </w:p>
        </w:tc>
        <w:tc>
          <w:tcPr>
            <w:tcW w:w="5000" w:type="dxa"/>
          </w:tcPr>
          <w:p w14:paraId="0288A310">
            <w:pPr>
              <w:ind w:firstLine="0"/>
            </w:pPr>
            <w:r>
              <w:rPr>
                <w:sz w:val="20"/>
              </w:rPr>
              <w:t>高</w:t>
            </w:r>
          </w:p>
        </w:tc>
        <w:tc>
          <w:tcPr>
            <w:tcW w:w="5000" w:type="dxa"/>
          </w:tcPr>
          <w:p w14:paraId="200E05D8">
            <w:pPr>
              <w:ind w:firstLine="0"/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 w14:paraId="54A0B09B">
            <w:pPr>
              <w:ind w:firstLine="0"/>
            </w:pPr>
            <w:r>
              <w:rPr>
                <w:sz w:val="20"/>
              </w:rPr>
              <w:t>20</w:t>
            </w:r>
          </w:p>
        </w:tc>
        <w:tc>
          <w:tcPr>
            <w:tcW w:w="5000" w:type="dxa"/>
          </w:tcPr>
          <w:p w14:paraId="5A75EC83">
            <w:pPr>
              <w:ind w:firstLine="0"/>
            </w:pPr>
            <w:r>
              <w:rPr>
                <w:sz w:val="20"/>
              </w:rPr>
              <w:t>20</w:t>
            </w:r>
          </w:p>
        </w:tc>
        <w:tc>
          <w:tcPr>
            <w:tcW w:w="5000" w:type="dxa"/>
          </w:tcPr>
          <w:p w14:paraId="48951DA5">
            <w:pPr>
              <w:ind w:firstLine="0"/>
            </w:pPr>
          </w:p>
        </w:tc>
      </w:tr>
      <w:tr w14:paraId="6DB70E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00" w:hRule="atLeast"/>
        </w:trPr>
        <w:tc>
          <w:tcPr>
            <w:tcW w:w="5000" w:type="dxa"/>
          </w:tcPr>
          <w:p w14:paraId="21CE09D1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效益指标</w:t>
            </w:r>
          </w:p>
        </w:tc>
        <w:tc>
          <w:tcPr>
            <w:tcW w:w="5000" w:type="dxa"/>
          </w:tcPr>
          <w:p w14:paraId="785B4AEC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经济效益指标</w:t>
            </w:r>
          </w:p>
        </w:tc>
        <w:tc>
          <w:tcPr>
            <w:tcW w:w="5000" w:type="dxa"/>
          </w:tcPr>
          <w:p w14:paraId="6156422F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经济效益</w:t>
            </w:r>
          </w:p>
        </w:tc>
        <w:tc>
          <w:tcPr>
            <w:tcW w:w="5000" w:type="dxa"/>
          </w:tcPr>
          <w:p w14:paraId="4535E80E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高</w:t>
            </w:r>
          </w:p>
        </w:tc>
        <w:tc>
          <w:tcPr>
            <w:tcW w:w="5000" w:type="dxa"/>
          </w:tcPr>
          <w:p w14:paraId="401438E7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 w14:paraId="62D7CB42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5000" w:type="dxa"/>
          </w:tcPr>
          <w:p w14:paraId="0B9D9EE9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5000" w:type="dxa"/>
          </w:tcPr>
          <w:p w14:paraId="38E614C1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</w:p>
        </w:tc>
      </w:tr>
    </w:tbl>
    <w:p w14:paraId="22A97FF1">
      <w:pPr>
        <w:ind w:firstLine="0" w:firstLineChars="0"/>
      </w:pPr>
    </w:p>
    <w:p w14:paraId="1D944201">
      <w:pPr>
        <w:pStyle w:val="13"/>
        <w:ind w:firstLine="198" w:firstLineChars="71"/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81" w:charSpace="0"/>
        </w:sectPr>
      </w:pPr>
    </w:p>
    <w:p w14:paraId="5AA3C8CB">
      <w:pPr>
        <w:pStyle w:val="7"/>
        <w:ind w:firstLine="0" w:firstLineChars="0"/>
        <w:jc w:val="both"/>
      </w:pPr>
    </w:p>
    <w:p w14:paraId="494E1E6C">
      <w:pPr>
        <w:ind w:firstLine="560"/>
      </w:pPr>
    </w:p>
    <w:sectPr>
      <w:headerReference r:id="rId13" w:type="first"/>
      <w:footerReference r:id="rId16" w:type="first"/>
      <w:headerReference r:id="rId11" w:type="default"/>
      <w:footerReference r:id="rId14" w:type="default"/>
      <w:headerReference r:id="rId12" w:type="even"/>
      <w:footerReference r:id="rId1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4B310">
    <w:pPr>
      <w:pStyle w:val="5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</w:t>
    </w:r>
    <w:r>
      <w:fldChar w:fldCharType="end"/>
    </w:r>
  </w:p>
  <w:p w14:paraId="74E6473F"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5D182"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4BCC6">
    <w:pPr>
      <w:pStyle w:val="5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C59BEA">
    <w:pPr>
      <w:pStyle w:val="5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fldChar w:fldCharType="end"/>
    </w:r>
  </w:p>
  <w:p w14:paraId="1CFB38CD">
    <w:pPr>
      <w:pStyle w:val="5"/>
      <w:ind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A63DDA">
    <w:pPr>
      <w:pStyle w:val="5"/>
      <w:ind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BF0A4"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CCE140"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5AF8D3"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7A046">
    <w:pPr>
      <w:pStyle w:val="6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99CA25">
    <w:pPr>
      <w:pStyle w:val="6"/>
      <w:ind w:firstLine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624E87">
    <w:pPr>
      <w:pStyle w:val="6"/>
      <w:ind w:firstLine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D762C8"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yODczZGQ5YjA2Yjc0YTg4NjczZmJmNjllZDRiNjMifQ=="/>
  </w:docVars>
  <w:rsids>
    <w:rsidRoot w:val="00F162A0"/>
    <w:rsid w:val="00011C36"/>
    <w:rsid w:val="00016B5D"/>
    <w:rsid w:val="00052489"/>
    <w:rsid w:val="000A7ADC"/>
    <w:rsid w:val="000D6D1C"/>
    <w:rsid w:val="000D6D59"/>
    <w:rsid w:val="00110E19"/>
    <w:rsid w:val="00152912"/>
    <w:rsid w:val="00193827"/>
    <w:rsid w:val="001F5E08"/>
    <w:rsid w:val="00236E9B"/>
    <w:rsid w:val="00281552"/>
    <w:rsid w:val="00327F83"/>
    <w:rsid w:val="003735F8"/>
    <w:rsid w:val="003B7F69"/>
    <w:rsid w:val="003D2071"/>
    <w:rsid w:val="004407E1"/>
    <w:rsid w:val="0048074D"/>
    <w:rsid w:val="004C04F3"/>
    <w:rsid w:val="004C19F5"/>
    <w:rsid w:val="00537773"/>
    <w:rsid w:val="006006D8"/>
    <w:rsid w:val="006417C1"/>
    <w:rsid w:val="00660FA0"/>
    <w:rsid w:val="0070424C"/>
    <w:rsid w:val="00724007"/>
    <w:rsid w:val="00732296"/>
    <w:rsid w:val="00743658"/>
    <w:rsid w:val="007C4E52"/>
    <w:rsid w:val="008A7395"/>
    <w:rsid w:val="008B6A0E"/>
    <w:rsid w:val="008E6B47"/>
    <w:rsid w:val="00933BF3"/>
    <w:rsid w:val="00971B9D"/>
    <w:rsid w:val="00992960"/>
    <w:rsid w:val="009B04B2"/>
    <w:rsid w:val="009B5A0B"/>
    <w:rsid w:val="00A70744"/>
    <w:rsid w:val="00B24F65"/>
    <w:rsid w:val="00B8339A"/>
    <w:rsid w:val="00B8498F"/>
    <w:rsid w:val="00BA6156"/>
    <w:rsid w:val="00BC0F32"/>
    <w:rsid w:val="00C04C23"/>
    <w:rsid w:val="00C47CBC"/>
    <w:rsid w:val="00C61059"/>
    <w:rsid w:val="00C73CC1"/>
    <w:rsid w:val="00D118FE"/>
    <w:rsid w:val="00DA2682"/>
    <w:rsid w:val="00DB7226"/>
    <w:rsid w:val="00E21CBA"/>
    <w:rsid w:val="00E65930"/>
    <w:rsid w:val="00E671D8"/>
    <w:rsid w:val="00F12F3A"/>
    <w:rsid w:val="00F162A0"/>
    <w:rsid w:val="00F212D0"/>
    <w:rsid w:val="00F24EEA"/>
    <w:rsid w:val="00F701C2"/>
    <w:rsid w:val="00FC14E3"/>
    <w:rsid w:val="00FC1F69"/>
    <w:rsid w:val="00FE0C1A"/>
    <w:rsid w:val="00FF2ACF"/>
    <w:rsid w:val="04AD726D"/>
    <w:rsid w:val="1615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600" w:firstLineChars="200"/>
      <w:jc w:val="both"/>
    </w:pPr>
    <w:rPr>
      <w:rFonts w:ascii="Calibri" w:hAnsi="Calibri" w:eastAsia="仿宋_GB2312" w:cs="黑体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6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Title"/>
    <w:basedOn w:val="1"/>
    <w:next w:val="1"/>
    <w:link w:val="19"/>
    <w:qFormat/>
    <w:uiPriority w:val="10"/>
    <w:pPr>
      <w:spacing w:before="240" w:after="60"/>
      <w:jc w:val="center"/>
      <w:outlineLvl w:val="0"/>
    </w:pPr>
    <w:rPr>
      <w:rFonts w:ascii="Cambria" w:hAnsi="Cambria" w:eastAsiaTheme="minorEastAsia" w:cstheme="minorBidi"/>
      <w:b/>
      <w:bCs/>
      <w:sz w:val="32"/>
      <w:szCs w:val="32"/>
    </w:rPr>
  </w:style>
  <w:style w:type="character" w:customStyle="1" w:styleId="10">
    <w:name w:val="页眉 Char1"/>
    <w:basedOn w:val="9"/>
    <w:link w:val="6"/>
    <w:uiPriority w:val="99"/>
    <w:rPr>
      <w:sz w:val="18"/>
      <w:szCs w:val="18"/>
    </w:rPr>
  </w:style>
  <w:style w:type="character" w:customStyle="1" w:styleId="11">
    <w:name w:val="页脚 Char1"/>
    <w:basedOn w:val="9"/>
    <w:link w:val="5"/>
    <w:uiPriority w:val="99"/>
    <w:rPr>
      <w:sz w:val="18"/>
      <w:szCs w:val="18"/>
    </w:rPr>
  </w:style>
  <w:style w:type="character" w:customStyle="1" w:styleId="12">
    <w:name w:val="闻政-正文段落文字 Char"/>
    <w:link w:val="13"/>
    <w:qFormat/>
    <w:uiPriority w:val="3"/>
    <w:rPr>
      <w:rFonts w:ascii="Times New Roman" w:hAnsi="Times New Roman" w:eastAsia="仿宋_GB2312"/>
      <w:sz w:val="28"/>
      <w:szCs w:val="28"/>
    </w:rPr>
  </w:style>
  <w:style w:type="paragraph" w:customStyle="1" w:styleId="13">
    <w:name w:val="闻政-正文段落文字"/>
    <w:basedOn w:val="1"/>
    <w:link w:val="12"/>
    <w:qFormat/>
    <w:uiPriority w:val="3"/>
    <w:pPr>
      <w:spacing w:line="500" w:lineRule="exact"/>
      <w:ind w:firstLine="200"/>
    </w:pPr>
    <w:rPr>
      <w:rFonts w:ascii="Times New Roman" w:hAnsi="Times New Roman" w:cstheme="minorBidi"/>
      <w:szCs w:val="28"/>
    </w:rPr>
  </w:style>
  <w:style w:type="character" w:customStyle="1" w:styleId="14">
    <w:name w:val="闻政-正文三级标题 Char"/>
    <w:link w:val="15"/>
    <w:uiPriority w:val="3"/>
    <w:rPr>
      <w:rFonts w:ascii="Times New Roman" w:hAnsi="Times New Roman" w:eastAsia="仿宋_GB2312"/>
      <w:b/>
      <w:snapToGrid w:val="0"/>
      <w:sz w:val="28"/>
      <w:szCs w:val="28"/>
    </w:rPr>
  </w:style>
  <w:style w:type="paragraph" w:customStyle="1" w:styleId="15">
    <w:name w:val="闻政-正文三级标题"/>
    <w:basedOn w:val="1"/>
    <w:next w:val="13"/>
    <w:link w:val="14"/>
    <w:qFormat/>
    <w:uiPriority w:val="3"/>
    <w:pPr>
      <w:widowControl/>
      <w:spacing w:before="120" w:after="60" w:line="500" w:lineRule="exact"/>
      <w:ind w:left="200" w:leftChars="200" w:firstLine="0" w:firstLineChars="0"/>
    </w:pPr>
    <w:rPr>
      <w:rFonts w:ascii="Times New Roman" w:hAnsi="Times New Roman" w:cstheme="minorBidi"/>
      <w:b/>
      <w:snapToGrid w:val="0"/>
      <w:szCs w:val="28"/>
    </w:rPr>
  </w:style>
  <w:style w:type="character" w:customStyle="1" w:styleId="16">
    <w:name w:val="页脚 Char"/>
    <w:uiPriority w:val="99"/>
    <w:rPr>
      <w:rFonts w:eastAsia="仿宋_GB2312" w:cs="黑体"/>
      <w:sz w:val="18"/>
      <w:szCs w:val="18"/>
    </w:rPr>
  </w:style>
  <w:style w:type="character" w:customStyle="1" w:styleId="17">
    <w:name w:val="闻政-正文一级标题 Char"/>
    <w:link w:val="18"/>
    <w:uiPriority w:val="3"/>
    <w:rPr>
      <w:rFonts w:ascii="黑体" w:hAnsi="黑体" w:eastAsia="黑体"/>
      <w:bCs/>
      <w:sz w:val="32"/>
      <w:szCs w:val="32"/>
    </w:rPr>
  </w:style>
  <w:style w:type="paragraph" w:customStyle="1" w:styleId="18">
    <w:name w:val="闻政-正文一级标题"/>
    <w:basedOn w:val="4"/>
    <w:next w:val="13"/>
    <w:link w:val="17"/>
    <w:qFormat/>
    <w:uiPriority w:val="3"/>
    <w:pPr>
      <w:spacing w:before="120" w:after="60" w:line="500" w:lineRule="exact"/>
      <w:ind w:firstLine="0" w:firstLineChars="0"/>
      <w:jc w:val="left"/>
      <w:outlineLvl w:val="0"/>
    </w:pPr>
    <w:rPr>
      <w:rFonts w:ascii="黑体" w:hAnsi="黑体" w:eastAsia="黑体" w:cstheme="minorBidi"/>
      <w:b w:val="0"/>
    </w:rPr>
  </w:style>
  <w:style w:type="character" w:customStyle="1" w:styleId="19">
    <w:name w:val="标题 Char"/>
    <w:link w:val="7"/>
    <w:uiPriority w:val="10"/>
    <w:rPr>
      <w:rFonts w:ascii="Cambria" w:hAnsi="Cambria"/>
      <w:b/>
      <w:bCs/>
      <w:sz w:val="32"/>
      <w:szCs w:val="32"/>
    </w:rPr>
  </w:style>
  <w:style w:type="character" w:customStyle="1" w:styleId="20">
    <w:name w:val="页眉 Char"/>
    <w:uiPriority w:val="99"/>
    <w:rPr>
      <w:rFonts w:eastAsia="仿宋_GB2312" w:cs="黑体"/>
      <w:sz w:val="18"/>
      <w:szCs w:val="18"/>
    </w:rPr>
  </w:style>
  <w:style w:type="character" w:customStyle="1" w:styleId="21">
    <w:name w:val="闻政-正文二级标题 Char"/>
    <w:link w:val="22"/>
    <w:uiPriority w:val="3"/>
    <w:rPr>
      <w:rFonts w:ascii="Times New Roman" w:hAnsi="Times New Roman" w:eastAsia="仿宋_GB2312"/>
      <w:b/>
      <w:bCs/>
      <w:sz w:val="28"/>
      <w:szCs w:val="32"/>
    </w:rPr>
  </w:style>
  <w:style w:type="paragraph" w:customStyle="1" w:styleId="22">
    <w:name w:val="闻政-正文二级标题"/>
    <w:basedOn w:val="3"/>
    <w:next w:val="13"/>
    <w:link w:val="21"/>
    <w:qFormat/>
    <w:uiPriority w:val="3"/>
    <w:pPr>
      <w:spacing w:before="120" w:after="60" w:line="500" w:lineRule="exact"/>
      <w:ind w:left="200" w:leftChars="200" w:firstLine="0" w:firstLineChars="0"/>
      <w:jc w:val="left"/>
    </w:pPr>
    <w:rPr>
      <w:rFonts w:ascii="Times New Roman" w:hAnsi="Times New Roman" w:eastAsia="仿宋_GB2312" w:cstheme="minorBidi"/>
      <w:sz w:val="28"/>
    </w:rPr>
  </w:style>
  <w:style w:type="character" w:customStyle="1" w:styleId="23">
    <w:name w:val="标题 1 Char"/>
    <w:basedOn w:val="9"/>
    <w:link w:val="2"/>
    <w:uiPriority w:val="9"/>
    <w:rPr>
      <w:rFonts w:ascii="Calibri" w:hAnsi="Calibri" w:eastAsia="仿宋_GB2312" w:cs="黑体"/>
      <w:b/>
      <w:bCs/>
      <w:kern w:val="44"/>
      <w:sz w:val="44"/>
      <w:szCs w:val="44"/>
    </w:rPr>
  </w:style>
  <w:style w:type="paragraph" w:customStyle="1" w:styleId="24">
    <w:name w:val="TOC Heading"/>
    <w:basedOn w:val="2"/>
    <w:next w:val="1"/>
    <w:qFormat/>
    <w:uiPriority w:val="39"/>
    <w:pPr>
      <w:widowControl/>
      <w:spacing w:before="480" w:after="0" w:line="276" w:lineRule="auto"/>
      <w:ind w:firstLine="0" w:firstLineChars="0"/>
      <w:jc w:val="left"/>
      <w:outlineLvl w:val="9"/>
    </w:pPr>
    <w:rPr>
      <w:rFonts w:ascii="Cambria" w:hAnsi="Cambria" w:eastAsia="宋体" w:cs="Times New Roman"/>
      <w:color w:val="365F91"/>
      <w:kern w:val="0"/>
      <w:sz w:val="28"/>
      <w:szCs w:val="28"/>
    </w:rPr>
  </w:style>
  <w:style w:type="character" w:customStyle="1" w:styleId="25">
    <w:name w:val="标题 字符"/>
    <w:basedOn w:val="9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6">
    <w:name w:val="标题 3 Char"/>
    <w:basedOn w:val="9"/>
    <w:link w:val="4"/>
    <w:semiHidden/>
    <w:uiPriority w:val="9"/>
    <w:rPr>
      <w:rFonts w:ascii="Calibri" w:hAnsi="Calibri" w:eastAsia="仿宋_GB2312" w:cs="黑体"/>
      <w:b/>
      <w:bCs/>
      <w:sz w:val="32"/>
      <w:szCs w:val="32"/>
    </w:rPr>
  </w:style>
  <w:style w:type="character" w:customStyle="1" w:styleId="27">
    <w:name w:val="标题 2 Char"/>
    <w:basedOn w:val="9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theme" Target="theme/theme1.xml"/><Relationship Id="rId16" Type="http://schemas.openxmlformats.org/officeDocument/2006/relationships/footer" Target="footer6.xml"/><Relationship Id="rId15" Type="http://schemas.openxmlformats.org/officeDocument/2006/relationships/footer" Target="footer5.xml"/><Relationship Id="rId14" Type="http://schemas.openxmlformats.org/officeDocument/2006/relationships/footer" Target="footer4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74BB1-235E-47DA-9B3D-30B82BFAFD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1159</Words>
  <Characters>1274</Characters>
  <Lines>6</Lines>
  <Paragraphs>1</Paragraphs>
  <TotalTime>92</TotalTime>
  <ScaleCrop>false</ScaleCrop>
  <LinksUpToDate>false</LinksUpToDate>
  <CharactersWithSpaces>1382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2020-12-10T04:14:00Z</dcterms:created>
  <dc:creator>志闯 赵</dc:creator>
  <cp:lastModifiedBy>小阳</cp:lastModifiedBy>
  <dcterms:modified xsi:type="dcterms:W3CDTF">2024-06-04T07:54:11Z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C29315E21A41435C87CAEF42CC5F4170_12</vt:lpwstr>
  </property>
</Properties>
</file>